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B9" w:rsidRDefault="00BB7D59">
      <w:pPr>
        <w:pStyle w:val="Corptext"/>
        <w:spacing w:before="63"/>
        <w:ind w:left="3384" w:right="267" w:firstLine="4966"/>
        <w:jc w:val="right"/>
      </w:pPr>
      <w:r>
        <w:t>Anexa</w:t>
      </w:r>
      <w:r>
        <w:rPr>
          <w:spacing w:val="-1"/>
        </w:rPr>
        <w:t xml:space="preserve"> </w:t>
      </w:r>
      <w:r>
        <w:t xml:space="preserve">nr. </w:t>
      </w:r>
      <w:r>
        <w:rPr>
          <w:spacing w:val="-16"/>
        </w:rPr>
        <w:t>9</w:t>
      </w:r>
      <w:r>
        <w:t xml:space="preserve"> la Regulamentul privind finanțarea activității partidelor</w:t>
      </w:r>
      <w:r>
        <w:rPr>
          <w:spacing w:val="-11"/>
        </w:rPr>
        <w:t xml:space="preserve"> </w:t>
      </w:r>
      <w:r>
        <w:t>politice</w:t>
      </w:r>
    </w:p>
    <w:p w:rsidR="002D16B9" w:rsidRDefault="00BB7D59">
      <w:pPr>
        <w:spacing w:before="2"/>
        <w:ind w:right="268"/>
        <w:jc w:val="right"/>
        <w:rPr>
          <w:i/>
        </w:rPr>
      </w:pPr>
      <w:r>
        <w:rPr>
          <w:i/>
        </w:rPr>
        <w:t>modificată prin hot. CEC nr. 2521 din 18 iunie 2019</w:t>
      </w:r>
      <w:bookmarkStart w:id="0" w:name="_GoBack"/>
      <w:bookmarkEnd w:id="0"/>
    </w:p>
    <w:p w:rsidR="002D16B9" w:rsidRDefault="002D16B9">
      <w:pPr>
        <w:pStyle w:val="Corptext"/>
        <w:spacing w:before="9"/>
        <w:rPr>
          <w:i/>
          <w:sz w:val="23"/>
        </w:rPr>
      </w:pPr>
    </w:p>
    <w:p w:rsidR="002D16B9" w:rsidRDefault="00BB7D59">
      <w:pPr>
        <w:pStyle w:val="Titlu1"/>
        <w:tabs>
          <w:tab w:val="left" w:pos="6895"/>
        </w:tabs>
        <w:ind w:right="94"/>
        <w:jc w:val="center"/>
        <w:rPr>
          <w:b w:val="0"/>
        </w:rPr>
      </w:pPr>
      <w:r>
        <w:t>Patrimoniul partidului politic la situația</w:t>
      </w:r>
      <w:r>
        <w:rPr>
          <w:spacing w:val="-13"/>
        </w:rPr>
        <w:t xml:space="preserve"> </w:t>
      </w:r>
      <w:r>
        <w:t>din</w:t>
      </w:r>
      <w:r>
        <w:rPr>
          <w:spacing w:val="4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D16B9" w:rsidRDefault="002D16B9">
      <w:pPr>
        <w:pStyle w:val="Corptext"/>
        <w:spacing w:before="7"/>
        <w:rPr>
          <w:sz w:val="16"/>
        </w:rPr>
      </w:pPr>
    </w:p>
    <w:p w:rsidR="002D16B9" w:rsidRDefault="00BB7D59">
      <w:pPr>
        <w:spacing w:before="90" w:after="3"/>
        <w:ind w:left="481"/>
        <w:rPr>
          <w:b/>
          <w:sz w:val="24"/>
        </w:rPr>
      </w:pPr>
      <w:r>
        <w:rPr>
          <w:b/>
          <w:sz w:val="24"/>
        </w:rPr>
        <w:t>1. Bunuri imobile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85"/>
        <w:gridCol w:w="2072"/>
        <w:gridCol w:w="2545"/>
        <w:gridCol w:w="1560"/>
      </w:tblGrid>
      <w:tr w:rsidR="002D16B9">
        <w:trPr>
          <w:trHeight w:val="272"/>
        </w:trPr>
        <w:tc>
          <w:tcPr>
            <w:tcW w:w="540" w:type="dxa"/>
            <w:tcBorders>
              <w:bottom w:val="nil"/>
            </w:tcBorders>
          </w:tcPr>
          <w:p w:rsidR="002D16B9" w:rsidRDefault="00BB7D59">
            <w:pPr>
              <w:pStyle w:val="TableParagraph"/>
              <w:spacing w:line="253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2785" w:type="dxa"/>
            <w:tcBorders>
              <w:bottom w:val="nil"/>
            </w:tcBorders>
          </w:tcPr>
          <w:p w:rsidR="002D16B9" w:rsidRDefault="00BB7D59">
            <w:pPr>
              <w:pStyle w:val="TableParagraph"/>
              <w:spacing w:line="253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Denumirea bunului imobil</w:t>
            </w:r>
          </w:p>
        </w:tc>
        <w:tc>
          <w:tcPr>
            <w:tcW w:w="2072" w:type="dxa"/>
            <w:tcBorders>
              <w:bottom w:val="nil"/>
            </w:tcBorders>
          </w:tcPr>
          <w:p w:rsidR="002D16B9" w:rsidRDefault="00BB7D59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Adresa amplasării</w:t>
            </w:r>
          </w:p>
        </w:tc>
        <w:tc>
          <w:tcPr>
            <w:tcW w:w="2545" w:type="dxa"/>
            <w:tcBorders>
              <w:bottom w:val="nil"/>
            </w:tcBorders>
          </w:tcPr>
          <w:p w:rsidR="002D16B9" w:rsidRDefault="00BB7D59">
            <w:pPr>
              <w:pStyle w:val="TableParagraph"/>
              <w:spacing w:line="253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Numărul şi data</w:t>
            </w:r>
          </w:p>
        </w:tc>
        <w:tc>
          <w:tcPr>
            <w:tcW w:w="1560" w:type="dxa"/>
            <w:tcBorders>
              <w:bottom w:val="nil"/>
            </w:tcBorders>
          </w:tcPr>
          <w:p w:rsidR="002D16B9" w:rsidRDefault="00BB7D59">
            <w:pPr>
              <w:pStyle w:val="TableParagraph"/>
              <w:spacing w:line="253" w:lineRule="exact"/>
              <w:ind w:left="26" w:right="21"/>
              <w:jc w:val="center"/>
              <w:rPr>
                <w:sz w:val="24"/>
              </w:rPr>
            </w:pPr>
            <w:r>
              <w:rPr>
                <w:sz w:val="24"/>
              </w:rPr>
              <w:t>Valoarea de</w:t>
            </w:r>
          </w:p>
        </w:tc>
      </w:tr>
      <w:tr w:rsidR="002D16B9">
        <w:trPr>
          <w:trHeight w:val="276"/>
        </w:trPr>
        <w:tc>
          <w:tcPr>
            <w:tcW w:w="540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d/o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r>
              <w:rPr>
                <w:sz w:val="24"/>
              </w:rPr>
              <w:t>proprietatea partidului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înregistrării bunului în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left="25" w:right="21"/>
              <w:jc w:val="center"/>
              <w:rPr>
                <w:sz w:val="24"/>
              </w:rPr>
            </w:pPr>
            <w:r>
              <w:rPr>
                <w:sz w:val="24"/>
              </w:rPr>
              <w:t>bilanț a</w:t>
            </w:r>
          </w:p>
        </w:tc>
      </w:tr>
      <w:tr w:rsidR="002D16B9">
        <w:trPr>
          <w:trHeight w:val="275"/>
        </w:trPr>
        <w:tc>
          <w:tcPr>
            <w:tcW w:w="540" w:type="dxa"/>
            <w:tcBorders>
              <w:top w:val="nil"/>
              <w:bottom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left="96" w:right="88"/>
              <w:jc w:val="center"/>
              <w:rPr>
                <w:sz w:val="24"/>
              </w:rPr>
            </w:pPr>
            <w:r>
              <w:rPr>
                <w:sz w:val="24"/>
              </w:rPr>
              <w:t>politic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Registrul bunurilor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D16B9" w:rsidRDefault="00BB7D59">
            <w:pPr>
              <w:pStyle w:val="TableParagraph"/>
              <w:spacing w:line="256" w:lineRule="exact"/>
              <w:ind w:left="29" w:right="21"/>
              <w:jc w:val="center"/>
              <w:rPr>
                <w:sz w:val="24"/>
              </w:rPr>
            </w:pPr>
            <w:r>
              <w:rPr>
                <w:sz w:val="24"/>
              </w:rPr>
              <w:t>imobilului (lei)</w:t>
            </w:r>
          </w:p>
        </w:tc>
      </w:tr>
      <w:tr w:rsidR="002D16B9">
        <w:trPr>
          <w:trHeight w:val="278"/>
        </w:trPr>
        <w:tc>
          <w:tcPr>
            <w:tcW w:w="540" w:type="dxa"/>
            <w:tcBorders>
              <w:top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2D16B9" w:rsidRDefault="00BB7D59">
            <w:pPr>
              <w:pStyle w:val="TableParagraph"/>
              <w:spacing w:line="259" w:lineRule="exact"/>
              <w:ind w:left="170" w:right="163"/>
              <w:jc w:val="center"/>
              <w:rPr>
                <w:sz w:val="24"/>
              </w:rPr>
            </w:pPr>
            <w:r>
              <w:rPr>
                <w:sz w:val="24"/>
              </w:rPr>
              <w:t>imobile</w:t>
            </w:r>
          </w:p>
        </w:tc>
        <w:tc>
          <w:tcPr>
            <w:tcW w:w="1560" w:type="dxa"/>
            <w:tcBorders>
              <w:top w:val="nil"/>
            </w:tcBorders>
          </w:tcPr>
          <w:p w:rsidR="002D16B9" w:rsidRDefault="002D16B9">
            <w:pPr>
              <w:pStyle w:val="TableParagraph"/>
              <w:rPr>
                <w:sz w:val="20"/>
              </w:rPr>
            </w:pPr>
          </w:p>
        </w:tc>
      </w:tr>
      <w:tr w:rsidR="002D16B9">
        <w:trPr>
          <w:trHeight w:val="316"/>
        </w:trPr>
        <w:tc>
          <w:tcPr>
            <w:tcW w:w="540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785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072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545" w:type="dxa"/>
          </w:tcPr>
          <w:p w:rsidR="002D16B9" w:rsidRDefault="002D16B9">
            <w:pPr>
              <w:pStyle w:val="TableParagraph"/>
            </w:pPr>
          </w:p>
        </w:tc>
        <w:tc>
          <w:tcPr>
            <w:tcW w:w="1560" w:type="dxa"/>
          </w:tcPr>
          <w:p w:rsidR="002D16B9" w:rsidRDefault="002D16B9">
            <w:pPr>
              <w:pStyle w:val="TableParagraph"/>
            </w:pPr>
          </w:p>
        </w:tc>
      </w:tr>
      <w:tr w:rsidR="002D16B9">
        <w:trPr>
          <w:trHeight w:val="313"/>
        </w:trPr>
        <w:tc>
          <w:tcPr>
            <w:tcW w:w="540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785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072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545" w:type="dxa"/>
          </w:tcPr>
          <w:p w:rsidR="002D16B9" w:rsidRDefault="002D16B9">
            <w:pPr>
              <w:pStyle w:val="TableParagraph"/>
            </w:pPr>
          </w:p>
        </w:tc>
        <w:tc>
          <w:tcPr>
            <w:tcW w:w="1560" w:type="dxa"/>
          </w:tcPr>
          <w:p w:rsidR="002D16B9" w:rsidRDefault="002D16B9">
            <w:pPr>
              <w:pStyle w:val="TableParagraph"/>
            </w:pPr>
          </w:p>
        </w:tc>
      </w:tr>
      <w:tr w:rsidR="002D16B9">
        <w:trPr>
          <w:trHeight w:val="314"/>
        </w:trPr>
        <w:tc>
          <w:tcPr>
            <w:tcW w:w="540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785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072" w:type="dxa"/>
          </w:tcPr>
          <w:p w:rsidR="002D16B9" w:rsidRDefault="002D16B9">
            <w:pPr>
              <w:pStyle w:val="TableParagraph"/>
            </w:pPr>
          </w:p>
        </w:tc>
        <w:tc>
          <w:tcPr>
            <w:tcW w:w="2545" w:type="dxa"/>
          </w:tcPr>
          <w:p w:rsidR="002D16B9" w:rsidRDefault="002D16B9">
            <w:pPr>
              <w:pStyle w:val="TableParagraph"/>
            </w:pPr>
          </w:p>
        </w:tc>
        <w:tc>
          <w:tcPr>
            <w:tcW w:w="1560" w:type="dxa"/>
          </w:tcPr>
          <w:p w:rsidR="002D16B9" w:rsidRDefault="002D16B9">
            <w:pPr>
              <w:pStyle w:val="TableParagraph"/>
            </w:pPr>
          </w:p>
        </w:tc>
      </w:tr>
      <w:tr w:rsidR="002D16B9">
        <w:trPr>
          <w:trHeight w:val="316"/>
        </w:trPr>
        <w:tc>
          <w:tcPr>
            <w:tcW w:w="7942" w:type="dxa"/>
            <w:gridSpan w:val="4"/>
          </w:tcPr>
          <w:p w:rsidR="002D16B9" w:rsidRDefault="00BB7D59">
            <w:pPr>
              <w:pStyle w:val="TableParagraph"/>
              <w:spacing w:line="275" w:lineRule="exact"/>
              <w:ind w:left="3676" w:right="3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60" w:type="dxa"/>
          </w:tcPr>
          <w:p w:rsidR="002D16B9" w:rsidRDefault="002D16B9">
            <w:pPr>
              <w:pStyle w:val="TableParagraph"/>
            </w:pPr>
          </w:p>
        </w:tc>
      </w:tr>
    </w:tbl>
    <w:p w:rsidR="002D16B9" w:rsidRDefault="002D16B9">
      <w:pPr>
        <w:pStyle w:val="Corptext"/>
        <w:spacing w:before="5"/>
        <w:rPr>
          <w:b/>
          <w:sz w:val="15"/>
        </w:rPr>
      </w:pPr>
    </w:p>
    <w:p w:rsidR="002D16B9" w:rsidRDefault="002D16B9">
      <w:pPr>
        <w:rPr>
          <w:sz w:val="15"/>
        </w:rPr>
        <w:sectPr w:rsidR="002D16B9">
          <w:type w:val="continuous"/>
          <w:pgSz w:w="11910" w:h="16840"/>
          <w:pgMar w:top="1180" w:right="580" w:bottom="280" w:left="1580" w:header="708" w:footer="708" w:gutter="0"/>
          <w:cols w:space="708"/>
        </w:sectPr>
      </w:pPr>
    </w:p>
    <w:p w:rsidR="002D16B9" w:rsidRDefault="00BB7D59">
      <w:pPr>
        <w:pStyle w:val="Corptext"/>
        <w:spacing w:before="90"/>
        <w:ind w:left="122"/>
      </w:pPr>
      <w:r>
        <w:t>Conducătorul</w:t>
      </w:r>
    </w:p>
    <w:p w:rsidR="002D16B9" w:rsidRDefault="002D16B9">
      <w:pPr>
        <w:pStyle w:val="Corptext"/>
        <w:rPr>
          <w:sz w:val="26"/>
        </w:rPr>
      </w:pPr>
    </w:p>
    <w:p w:rsidR="002D16B9" w:rsidRDefault="00BB7D59">
      <w:pPr>
        <w:pStyle w:val="Corptext"/>
        <w:spacing w:before="162"/>
        <w:ind w:left="122"/>
      </w:pPr>
      <w:r>
        <w:t>L.Ș</w:t>
      </w:r>
    </w:p>
    <w:p w:rsidR="002D16B9" w:rsidRDefault="002D16B9">
      <w:pPr>
        <w:pStyle w:val="Corptext"/>
      </w:pPr>
    </w:p>
    <w:p w:rsidR="002D16B9" w:rsidRDefault="00BB7D59">
      <w:pPr>
        <w:pStyle w:val="Corptext"/>
        <w:ind w:left="122"/>
      </w:pPr>
      <w:r>
        <w:t>Trezorierul</w:t>
      </w:r>
    </w:p>
    <w:p w:rsidR="002D16B9" w:rsidRDefault="00BB7D59">
      <w:pPr>
        <w:pStyle w:val="Corptext"/>
        <w:rPr>
          <w:sz w:val="20"/>
        </w:rPr>
      </w:pPr>
      <w:r>
        <w:br w:type="column"/>
      </w:r>
    </w:p>
    <w:p w:rsidR="002D16B9" w:rsidRDefault="002D16B9">
      <w:pPr>
        <w:pStyle w:val="Corptext"/>
        <w:rPr>
          <w:sz w:val="11"/>
        </w:rPr>
      </w:pPr>
    </w:p>
    <w:p w:rsidR="002D16B9" w:rsidRDefault="00BB7D59">
      <w:pPr>
        <w:pStyle w:val="Corptext"/>
        <w:spacing w:line="20" w:lineRule="exact"/>
        <w:ind w:left="-5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in;height:.5pt;mso-position-horizontal-relative:char;mso-position-vertical-relative:line" coordsize="2880,10">
            <v:line id="_x0000_s1029" style="position:absolute" from="0,5" to="2880,5" strokeweight=".48pt"/>
            <w10:wrap type="none"/>
            <w10:anchorlock/>
          </v:group>
        </w:pict>
      </w:r>
    </w:p>
    <w:p w:rsidR="002D16B9" w:rsidRDefault="00BB7D59">
      <w:pPr>
        <w:ind w:left="122"/>
        <w:rPr>
          <w:sz w:val="20"/>
        </w:rPr>
      </w:pPr>
      <w:r>
        <w:rPr>
          <w:sz w:val="20"/>
        </w:rPr>
        <w:t>(numele,</w:t>
      </w:r>
      <w:r>
        <w:rPr>
          <w:spacing w:val="-8"/>
          <w:sz w:val="20"/>
        </w:rPr>
        <w:t xml:space="preserve"> </w:t>
      </w:r>
      <w:r>
        <w:rPr>
          <w:sz w:val="20"/>
        </w:rPr>
        <w:t>prenumele)</w:t>
      </w:r>
    </w:p>
    <w:p w:rsidR="002D16B9" w:rsidRDefault="002D16B9">
      <w:pPr>
        <w:pStyle w:val="Corptext"/>
        <w:rPr>
          <w:sz w:val="20"/>
        </w:rPr>
      </w:pPr>
    </w:p>
    <w:p w:rsidR="002D16B9" w:rsidRDefault="002D16B9">
      <w:pPr>
        <w:pStyle w:val="Corptext"/>
        <w:rPr>
          <w:sz w:val="20"/>
        </w:rPr>
      </w:pPr>
    </w:p>
    <w:p w:rsidR="002D16B9" w:rsidRDefault="002D16B9">
      <w:pPr>
        <w:pStyle w:val="Corptext"/>
        <w:rPr>
          <w:sz w:val="20"/>
        </w:rPr>
      </w:pPr>
    </w:p>
    <w:p w:rsidR="002D16B9" w:rsidRDefault="002D16B9">
      <w:pPr>
        <w:pStyle w:val="Corptext"/>
        <w:rPr>
          <w:sz w:val="20"/>
        </w:rPr>
      </w:pPr>
    </w:p>
    <w:p w:rsidR="002D16B9" w:rsidRDefault="002D16B9">
      <w:pPr>
        <w:pStyle w:val="Corptext"/>
        <w:spacing w:before="1"/>
        <w:rPr>
          <w:sz w:val="11"/>
        </w:rPr>
      </w:pPr>
    </w:p>
    <w:p w:rsidR="002D16B9" w:rsidRDefault="00BB7D59">
      <w:pPr>
        <w:pStyle w:val="Corptext"/>
        <w:spacing w:line="20" w:lineRule="exact"/>
        <w:ind w:left="-6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in;height:.5pt;mso-position-horizontal-relative:char;mso-position-vertical-relative:line" coordsize="2880,10">
            <v:line id="_x0000_s1027" style="position:absolute" from="0,5" to="2880,5" strokeweight=".48pt"/>
            <w10:wrap type="none"/>
            <w10:anchorlock/>
          </v:group>
        </w:pict>
      </w:r>
    </w:p>
    <w:p w:rsidR="002D16B9" w:rsidRDefault="00BB7D59">
      <w:pPr>
        <w:ind w:left="122"/>
        <w:rPr>
          <w:sz w:val="20"/>
        </w:rPr>
      </w:pPr>
      <w:r>
        <w:rPr>
          <w:sz w:val="20"/>
        </w:rPr>
        <w:t>(numele,</w:t>
      </w:r>
      <w:r>
        <w:rPr>
          <w:spacing w:val="-8"/>
          <w:sz w:val="20"/>
        </w:rPr>
        <w:t xml:space="preserve"> </w:t>
      </w:r>
      <w:r>
        <w:rPr>
          <w:sz w:val="20"/>
        </w:rPr>
        <w:t>prenumele)</w:t>
      </w:r>
    </w:p>
    <w:sectPr w:rsidR="002D16B9">
      <w:type w:val="continuous"/>
      <w:pgSz w:w="11910" w:h="16840"/>
      <w:pgMar w:top="1180" w:right="580" w:bottom="280" w:left="1580" w:header="708" w:footer="708" w:gutter="0"/>
      <w:cols w:num="2" w:space="708" w:equalWidth="0">
        <w:col w:w="1468" w:space="5673"/>
        <w:col w:w="26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16B9"/>
    <w:rsid w:val="002D16B9"/>
    <w:rsid w:val="00BB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C765588-8A95-4A58-975A-EBA763D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Cristea</dc:creator>
  <cp:lastModifiedBy>Adrian Gamarta-Esanu</cp:lastModifiedBy>
  <cp:revision>3</cp:revision>
  <dcterms:created xsi:type="dcterms:W3CDTF">2019-11-15T14:23:00Z</dcterms:created>
  <dcterms:modified xsi:type="dcterms:W3CDTF">2019-11-15T14:24:00Z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2019-11-15T00:00:00Z</vt:filetime>
  </property>
</Properties>
</file>