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7AF" w:rsidRPr="004537AF" w:rsidRDefault="004537AF" w:rsidP="004537AF">
      <w:pPr>
        <w:spacing w:after="0" w:line="240" w:lineRule="auto"/>
        <w:jc w:val="right"/>
        <w:rPr>
          <w:rFonts w:ascii="Times New Roman" w:hAnsi="Times New Roman"/>
          <w:sz w:val="24"/>
          <w:szCs w:val="24"/>
          <w:lang w:val="ro-RO"/>
        </w:rPr>
      </w:pPr>
      <w:r w:rsidRPr="004537AF">
        <w:rPr>
          <w:rFonts w:ascii="Times New Roman" w:hAnsi="Times New Roman"/>
          <w:sz w:val="24"/>
          <w:szCs w:val="24"/>
          <w:lang w:val="ro-RO"/>
        </w:rPr>
        <w:t>Aprobat</w:t>
      </w:r>
    </w:p>
    <w:p w:rsidR="004537AF" w:rsidRPr="004537AF" w:rsidRDefault="004537AF" w:rsidP="004537AF">
      <w:pPr>
        <w:spacing w:after="0" w:line="240" w:lineRule="auto"/>
        <w:jc w:val="right"/>
        <w:rPr>
          <w:rFonts w:ascii="Times New Roman" w:hAnsi="Times New Roman"/>
          <w:sz w:val="24"/>
          <w:szCs w:val="24"/>
          <w:lang w:val="ro-RO"/>
        </w:rPr>
      </w:pPr>
      <w:r w:rsidRPr="004537AF">
        <w:rPr>
          <w:rFonts w:ascii="Times New Roman" w:hAnsi="Times New Roman"/>
          <w:sz w:val="24"/>
          <w:szCs w:val="24"/>
          <w:lang w:val="ro-RO"/>
        </w:rPr>
        <w:t>prin hotărîrea Comisiei Electorale Centrale</w:t>
      </w:r>
    </w:p>
    <w:p w:rsidR="004537AF" w:rsidRPr="004537AF" w:rsidRDefault="004537AF" w:rsidP="004537AF">
      <w:pPr>
        <w:spacing w:after="0" w:line="240" w:lineRule="auto"/>
        <w:jc w:val="right"/>
        <w:rPr>
          <w:rFonts w:ascii="Times New Roman" w:hAnsi="Times New Roman"/>
          <w:sz w:val="24"/>
          <w:szCs w:val="24"/>
          <w:lang w:val="ro-RO"/>
        </w:rPr>
      </w:pPr>
      <w:r w:rsidRPr="004537AF">
        <w:rPr>
          <w:rFonts w:ascii="Times New Roman" w:hAnsi="Times New Roman"/>
          <w:sz w:val="24"/>
          <w:szCs w:val="24"/>
          <w:lang w:val="ro-RO"/>
        </w:rPr>
        <w:t>nr. 4463 din 26 ianuarie 2016</w:t>
      </w:r>
    </w:p>
    <w:p w:rsidR="004537AF" w:rsidRPr="004537AF" w:rsidRDefault="004537AF" w:rsidP="004537AF">
      <w:pPr>
        <w:spacing w:after="0" w:line="240" w:lineRule="auto"/>
        <w:rPr>
          <w:rFonts w:ascii="Times New Roman" w:hAnsi="Times New Roman"/>
          <w:sz w:val="24"/>
          <w:szCs w:val="24"/>
          <w:lang w:val="ro-RO"/>
        </w:rPr>
      </w:pPr>
    </w:p>
    <w:p w:rsidR="004537AF" w:rsidRP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REGULAMENT</w:t>
      </w:r>
    </w:p>
    <w:p w:rsidR="004537AF" w:rsidRP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cu privire la accesibilitatea procesului electoral pentru persoanele cu dizabilități</w:t>
      </w:r>
    </w:p>
    <w:p w:rsidR="004537AF" w:rsidRPr="004537AF" w:rsidRDefault="004537AF" w:rsidP="004537AF">
      <w:pPr>
        <w:spacing w:after="0" w:line="240" w:lineRule="auto"/>
        <w:rPr>
          <w:rFonts w:ascii="Times New Roman" w:hAnsi="Times New Roman"/>
          <w:b/>
          <w:sz w:val="24"/>
          <w:szCs w:val="24"/>
          <w:lang w:val="ro-RO"/>
        </w:rPr>
      </w:pPr>
    </w:p>
    <w:p w:rsid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Capitolul I.</w:t>
      </w:r>
      <w:r>
        <w:rPr>
          <w:rFonts w:ascii="Times New Roman" w:hAnsi="Times New Roman"/>
          <w:b/>
          <w:sz w:val="24"/>
          <w:szCs w:val="24"/>
          <w:lang w:val="ro-RO"/>
        </w:rPr>
        <w:t xml:space="preserve"> </w:t>
      </w:r>
      <w:r w:rsidRPr="004537AF">
        <w:rPr>
          <w:rFonts w:ascii="Times New Roman" w:hAnsi="Times New Roman"/>
          <w:b/>
          <w:sz w:val="24"/>
          <w:szCs w:val="24"/>
          <w:lang w:val="ro-RO"/>
        </w:rPr>
        <w:t>Dispoziții generale</w:t>
      </w:r>
    </w:p>
    <w:p w:rsidR="004537AF" w:rsidRPr="004537AF" w:rsidRDefault="004537AF" w:rsidP="004537AF">
      <w:pPr>
        <w:spacing w:after="0" w:line="240" w:lineRule="auto"/>
        <w:jc w:val="center"/>
        <w:rPr>
          <w:rFonts w:ascii="Times New Roman" w:hAnsi="Times New Roman"/>
          <w:b/>
          <w:sz w:val="24"/>
          <w:szCs w:val="24"/>
          <w:lang w:val="ro-RO"/>
        </w:rPr>
      </w:pP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Prezentul regulament reglementează accesul neîngrădit și nediscriminatoriu al persoanelor cu dizabilități la procesele electorale.</w:t>
      </w: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Prezentul regulament este întemeiat pe prevederile Convenţiei Organizației Națiunilor Unite privind drepturile persoanelor cu dizabilități din 13.12.2006, ratificate de Parlamentul Republicii Moldova prin Legea nr. 166 din 9 iulie 2010, Declaraţia interpretativă a Codului bunelor practici în materie electorală a participării persoanelor cu dizabilităţi la alegeri, adoptată de Comisia Europeană pentru Democrație prin Lege (Comisia de la Veneția), Constituția Republicii Moldova, Codul electoral al Republicii Moldova, Legea nr. 60 din 30 martie 2012 privind incluziunea socială a persoanelor cu dizabilităţi, Legea nr. 169 din 9 iulie 2010 pentru aprobarea Strategiei de incluziune socială a persoanelor cu dizabilităţi (2010–2013), Hotărîrea Guvernului nr. 1025 din 28.12.2012 ”Cu privire la aprobarea Programului Naţional privind sănătatea mintală pentru anii 2012-2016”.</w:t>
      </w: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În sensul prezentului regulament expresiile și noțiunile de mai jos au următorul înțeles:</w:t>
      </w:r>
    </w:p>
    <w:p w:rsidR="004537AF" w:rsidRPr="004537AF" w:rsidRDefault="004537AF" w:rsidP="00736E8B">
      <w:pPr>
        <w:spacing w:after="0" w:line="240" w:lineRule="auto"/>
        <w:ind w:firstLine="720"/>
        <w:jc w:val="both"/>
        <w:rPr>
          <w:rFonts w:ascii="Times New Roman" w:hAnsi="Times New Roman"/>
          <w:sz w:val="24"/>
          <w:szCs w:val="24"/>
          <w:lang w:val="ro-RO"/>
        </w:rPr>
      </w:pPr>
      <w:r w:rsidRPr="004537AF">
        <w:rPr>
          <w:rFonts w:ascii="Times New Roman" w:hAnsi="Times New Roman"/>
          <w:i/>
          <w:sz w:val="24"/>
          <w:szCs w:val="24"/>
          <w:lang w:val="ro-RO"/>
        </w:rPr>
        <w:t>persoană cu dizabilități</w:t>
      </w:r>
      <w:r w:rsidRPr="004537AF">
        <w:rPr>
          <w:rFonts w:ascii="Times New Roman" w:hAnsi="Times New Roman"/>
          <w:sz w:val="24"/>
          <w:szCs w:val="24"/>
          <w:lang w:val="ro-RO"/>
        </w:rPr>
        <w:t xml:space="preserve"> - persoană cu deficienţe fizice, mentale, intelectuale sau senzoriale, deficienţe care, în interacţiune cu diverse bariere/obstacole, pot îngrădi participarea ei deplină şi eficientă la viaţa societăţii în condiţii de egalitate cu celelalte persoane;</w:t>
      </w:r>
    </w:p>
    <w:p w:rsidR="004537AF" w:rsidRPr="004537AF" w:rsidRDefault="004537AF" w:rsidP="00736E8B">
      <w:pPr>
        <w:spacing w:after="0" w:line="240" w:lineRule="auto"/>
        <w:ind w:firstLine="720"/>
        <w:jc w:val="both"/>
        <w:rPr>
          <w:rFonts w:ascii="Times New Roman" w:hAnsi="Times New Roman"/>
          <w:sz w:val="24"/>
          <w:szCs w:val="24"/>
          <w:lang w:val="ro-RO"/>
        </w:rPr>
      </w:pPr>
      <w:r w:rsidRPr="004537AF">
        <w:rPr>
          <w:rFonts w:ascii="Times New Roman" w:hAnsi="Times New Roman"/>
          <w:i/>
          <w:sz w:val="24"/>
          <w:szCs w:val="24"/>
          <w:lang w:val="ro-RO"/>
        </w:rPr>
        <w:t>incluziune socială</w:t>
      </w:r>
      <w:r w:rsidRPr="004537AF">
        <w:rPr>
          <w:rFonts w:ascii="Times New Roman" w:hAnsi="Times New Roman"/>
          <w:sz w:val="24"/>
          <w:szCs w:val="24"/>
          <w:lang w:val="ro-RO"/>
        </w:rPr>
        <w:t xml:space="preserve"> – ansamblu de măsuri şi acţiuni multidimensionale din domeniile protecţiei sociale, ocupării forţei de muncă, locuirii, educaţiei, sportului, ocrotirii sănătăţii, informării şi comunicării, mobilităţii, securităţii, justiţiei şi culturii, precum şi din alte domenii destinate integrării persoanelor cu dizabilităţi în societate;</w:t>
      </w:r>
    </w:p>
    <w:p w:rsidR="004537AF" w:rsidRPr="004537AF" w:rsidRDefault="004537AF" w:rsidP="00736E8B">
      <w:pPr>
        <w:spacing w:after="0" w:line="240" w:lineRule="auto"/>
        <w:ind w:firstLine="720"/>
        <w:jc w:val="both"/>
        <w:rPr>
          <w:rFonts w:ascii="Times New Roman" w:hAnsi="Times New Roman"/>
          <w:sz w:val="24"/>
          <w:szCs w:val="24"/>
          <w:lang w:val="ro-RO"/>
        </w:rPr>
      </w:pPr>
      <w:r w:rsidRPr="004537AF">
        <w:rPr>
          <w:rFonts w:ascii="Times New Roman" w:hAnsi="Times New Roman"/>
          <w:i/>
          <w:sz w:val="24"/>
          <w:szCs w:val="24"/>
          <w:lang w:val="ro-RO"/>
        </w:rPr>
        <w:t>adaptare/acomodare rezonabilă</w:t>
      </w:r>
      <w:r w:rsidRPr="004537AF">
        <w:rPr>
          <w:rFonts w:ascii="Times New Roman" w:hAnsi="Times New Roman"/>
          <w:sz w:val="24"/>
          <w:szCs w:val="24"/>
          <w:lang w:val="ro-RO"/>
        </w:rPr>
        <w:t xml:space="preserve"> – modificările şi ajustările necesare şi adecvate, care nu impun un efort disproporţionat sau nejustificat atunci cînd este necesar, pentru a permite persoanelor cu dizabilităţi să se bucure sau să-şi exercite, în condiţii de egalitate cu ceilalţi, toate drepturile şi libertăţile fundamentale ale omului, inclusiv în procesul electoral.</w:t>
      </w: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În scopul asigurării accesibilității în procesul electoral a persoanelor cu dizabilități Comisia Electorală Centrală, consiliile electorale de circumscripţie, birourile electorale ale secţiilor de votare se vor conduce de următoarele principii:</w:t>
      </w:r>
    </w:p>
    <w:p w:rsidR="004537AF" w:rsidRPr="004537AF" w:rsidRDefault="004537AF" w:rsidP="00736E8B">
      <w:pPr>
        <w:numPr>
          <w:ilvl w:val="0"/>
          <w:numId w:val="2"/>
        </w:numPr>
        <w:spacing w:after="0" w:line="240" w:lineRule="auto"/>
        <w:ind w:left="1080" w:hanging="270"/>
        <w:jc w:val="both"/>
        <w:rPr>
          <w:rFonts w:ascii="Times New Roman" w:hAnsi="Times New Roman"/>
          <w:sz w:val="24"/>
          <w:szCs w:val="24"/>
          <w:lang w:val="ro-RO"/>
        </w:rPr>
      </w:pPr>
      <w:r w:rsidRPr="004537AF">
        <w:rPr>
          <w:rFonts w:ascii="Times New Roman" w:hAnsi="Times New Roman"/>
          <w:i/>
          <w:sz w:val="24"/>
          <w:szCs w:val="24"/>
          <w:lang w:val="ro-RO"/>
        </w:rPr>
        <w:t>principiul adaptării rezonabile</w:t>
      </w:r>
      <w:r w:rsidRPr="004537AF">
        <w:rPr>
          <w:rFonts w:ascii="Times New Roman" w:hAnsi="Times New Roman"/>
          <w:sz w:val="24"/>
          <w:szCs w:val="24"/>
          <w:lang w:val="ro-RO"/>
        </w:rPr>
        <w:t xml:space="preserve"> a secțiilor de votare care constă în implementarea ajustărilor necesare şi adecvate pentru a permite persoanelor cu dizabilităţi să-şi exercite, în condiţii de egalitate cu ceilalţi, dreptul de a alege în cadrul procesului electoral;</w:t>
      </w:r>
    </w:p>
    <w:p w:rsidR="004537AF" w:rsidRPr="004537AF" w:rsidRDefault="004537AF" w:rsidP="00736E8B">
      <w:pPr>
        <w:numPr>
          <w:ilvl w:val="0"/>
          <w:numId w:val="2"/>
        </w:numPr>
        <w:spacing w:after="0" w:line="240" w:lineRule="auto"/>
        <w:ind w:left="1080" w:hanging="270"/>
        <w:jc w:val="both"/>
        <w:rPr>
          <w:rFonts w:ascii="Times New Roman" w:hAnsi="Times New Roman"/>
          <w:sz w:val="24"/>
          <w:szCs w:val="24"/>
          <w:lang w:val="ro-RO"/>
        </w:rPr>
      </w:pPr>
      <w:r w:rsidRPr="004537AF">
        <w:rPr>
          <w:rFonts w:ascii="Times New Roman" w:hAnsi="Times New Roman"/>
          <w:i/>
          <w:sz w:val="24"/>
          <w:szCs w:val="24"/>
          <w:lang w:val="ro-RO"/>
        </w:rPr>
        <w:t>principiul reglementării exprese</w:t>
      </w:r>
      <w:r w:rsidRPr="004537AF">
        <w:rPr>
          <w:rFonts w:ascii="Times New Roman" w:hAnsi="Times New Roman"/>
          <w:sz w:val="24"/>
          <w:szCs w:val="24"/>
          <w:lang w:val="ro-RO"/>
        </w:rPr>
        <w:t xml:space="preserve"> a dreptului persoanelor cu dizabilități la libera formare a opiniei în condiții democratice cu privire la concurenții electorali (accesul liber la informație);</w:t>
      </w:r>
    </w:p>
    <w:p w:rsidR="004537AF" w:rsidRPr="004537AF" w:rsidRDefault="004537AF" w:rsidP="00736E8B">
      <w:pPr>
        <w:numPr>
          <w:ilvl w:val="0"/>
          <w:numId w:val="2"/>
        </w:numPr>
        <w:spacing w:after="0" w:line="240" w:lineRule="auto"/>
        <w:ind w:left="1080" w:hanging="270"/>
        <w:jc w:val="both"/>
        <w:rPr>
          <w:rFonts w:ascii="Times New Roman" w:hAnsi="Times New Roman"/>
          <w:sz w:val="24"/>
          <w:szCs w:val="24"/>
          <w:lang w:val="ro-RO"/>
        </w:rPr>
      </w:pPr>
      <w:r w:rsidRPr="004537AF">
        <w:rPr>
          <w:rFonts w:ascii="Times New Roman" w:hAnsi="Times New Roman"/>
          <w:i/>
          <w:sz w:val="24"/>
          <w:szCs w:val="24"/>
          <w:lang w:val="ro-RO"/>
        </w:rPr>
        <w:t>principiul protecției muncii, securității și sănătății</w:t>
      </w:r>
      <w:r w:rsidRPr="004537AF">
        <w:rPr>
          <w:rFonts w:ascii="Times New Roman" w:hAnsi="Times New Roman"/>
          <w:sz w:val="24"/>
          <w:szCs w:val="24"/>
          <w:lang w:val="ro-RO"/>
        </w:rPr>
        <w:t xml:space="preserve"> în muncă a persoanelor cu dizabilități în cadrul organelor electorale;</w:t>
      </w:r>
    </w:p>
    <w:p w:rsidR="004537AF" w:rsidRPr="004537AF" w:rsidRDefault="004537AF" w:rsidP="00736E8B">
      <w:pPr>
        <w:numPr>
          <w:ilvl w:val="0"/>
          <w:numId w:val="2"/>
        </w:numPr>
        <w:spacing w:after="0" w:line="240" w:lineRule="auto"/>
        <w:ind w:left="1080" w:hanging="270"/>
        <w:jc w:val="both"/>
        <w:rPr>
          <w:rFonts w:ascii="Times New Roman" w:hAnsi="Times New Roman"/>
          <w:sz w:val="24"/>
          <w:szCs w:val="24"/>
          <w:lang w:val="ro-RO"/>
        </w:rPr>
      </w:pPr>
      <w:r w:rsidRPr="004537AF">
        <w:rPr>
          <w:rFonts w:ascii="Times New Roman" w:hAnsi="Times New Roman"/>
          <w:i/>
          <w:sz w:val="24"/>
          <w:szCs w:val="24"/>
          <w:lang w:val="ro-RO"/>
        </w:rPr>
        <w:t>principiul egalității în drepturi</w:t>
      </w:r>
      <w:r w:rsidRPr="004537AF">
        <w:rPr>
          <w:rFonts w:ascii="Times New Roman" w:hAnsi="Times New Roman"/>
          <w:sz w:val="24"/>
          <w:szCs w:val="24"/>
          <w:lang w:val="ro-RO"/>
        </w:rPr>
        <w:t xml:space="preserve"> a cetățenilor prin asigurarea unor anumite condiții și mijloace speciale pentru depășirea anumitor bariere ce ar permite persoanelor cu dizabilități să-și exercite drepturile constituționale la vot și de a fi alese;</w:t>
      </w:r>
    </w:p>
    <w:p w:rsidR="004537AF" w:rsidRPr="004537AF" w:rsidRDefault="004537AF" w:rsidP="00736E8B">
      <w:pPr>
        <w:numPr>
          <w:ilvl w:val="0"/>
          <w:numId w:val="2"/>
        </w:numPr>
        <w:spacing w:after="0" w:line="240" w:lineRule="auto"/>
        <w:ind w:left="1080" w:hanging="270"/>
        <w:jc w:val="both"/>
        <w:rPr>
          <w:rFonts w:ascii="Times New Roman" w:hAnsi="Times New Roman"/>
          <w:sz w:val="24"/>
          <w:szCs w:val="24"/>
          <w:lang w:val="ro-RO"/>
        </w:rPr>
      </w:pPr>
      <w:r w:rsidRPr="004537AF">
        <w:rPr>
          <w:rFonts w:ascii="Times New Roman" w:hAnsi="Times New Roman"/>
          <w:i/>
          <w:sz w:val="24"/>
          <w:szCs w:val="24"/>
          <w:lang w:val="ro-RO"/>
        </w:rPr>
        <w:t>principiul garantării exprimării libere a voinței alegătorului (persoană cu dizabilități)</w:t>
      </w:r>
      <w:r w:rsidRPr="004537AF">
        <w:rPr>
          <w:rFonts w:ascii="Times New Roman" w:hAnsi="Times New Roman"/>
          <w:sz w:val="24"/>
          <w:szCs w:val="24"/>
          <w:lang w:val="ro-RO"/>
        </w:rPr>
        <w:t xml:space="preserve"> prin care la cererea acestuia să-și poată permite folosirea tehnologiilor de asistență și/sau să fie asistată la votare de o persoană la propria alegere, în condițiile în care este sigur că persoana aleasă nu exercită o influență necuvenită.</w:t>
      </w: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Comisia Electorală Centrală promovează neîngrădirea în drepturi, inclusiv asigurarea egalității în drepturile electorale a persoanelor cu dizabilități fizice, mintale și psihosociale în cazul în care nu au fost declarate de instanța de judecată incapabile.</w:t>
      </w: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Accesul în sediile organelor electorale, inclusiv accesul la muncă a persoanelor cu dizabilități în organele electorale este neîngrădit și nediscriminatoriu.</w:t>
      </w: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Comisia Electorală Centrală, consiliile electorale de circumscripţie, birourile electorale ale secţiilor de votare stimulează atragerea persoanelor cu dizabilități în activitatea organelor electorale și garantează protecția sănătății și securitatea în muncă a persoanelor cu dizabilități funcționari în organele electorale.</w:t>
      </w:r>
    </w:p>
    <w:p w:rsidR="004537AF" w:rsidRPr="004537AF" w:rsidRDefault="004537AF" w:rsidP="00736E8B">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 xml:space="preserve">Comisia Electorală Centrală recomandă subiecților cu drepturi electorale desemnarea persoanelor cu dizabilități în procesul electoral, monitorizînd informația cu privire la numărul persoanelor cu dizabilități desemnați în procesul electoral de către subiecții cu drepturi electorale. </w:t>
      </w:r>
    </w:p>
    <w:p w:rsidR="004537AF" w:rsidRPr="004537AF" w:rsidRDefault="004537AF" w:rsidP="004537AF">
      <w:pPr>
        <w:spacing w:after="0" w:line="240" w:lineRule="auto"/>
        <w:jc w:val="center"/>
        <w:rPr>
          <w:rFonts w:ascii="Times New Roman" w:hAnsi="Times New Roman"/>
          <w:b/>
          <w:sz w:val="24"/>
          <w:szCs w:val="24"/>
          <w:lang w:val="ro-RO"/>
        </w:rPr>
      </w:pPr>
    </w:p>
    <w:p w:rsid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Capitolul II.</w:t>
      </w:r>
      <w:r>
        <w:rPr>
          <w:rFonts w:ascii="Times New Roman" w:hAnsi="Times New Roman"/>
          <w:b/>
          <w:sz w:val="24"/>
          <w:szCs w:val="24"/>
          <w:lang w:val="ro-RO"/>
        </w:rPr>
        <w:t xml:space="preserve"> </w:t>
      </w:r>
      <w:r w:rsidRPr="004537AF">
        <w:rPr>
          <w:rFonts w:ascii="Times New Roman" w:hAnsi="Times New Roman"/>
          <w:b/>
          <w:sz w:val="24"/>
          <w:szCs w:val="24"/>
          <w:lang w:val="ro-RO"/>
        </w:rPr>
        <w:t>Sufragiu în condiții nediscriminatorii</w:t>
      </w:r>
    </w:p>
    <w:p w:rsidR="004537AF" w:rsidRPr="004537AF" w:rsidRDefault="004537AF" w:rsidP="004537AF">
      <w:pPr>
        <w:spacing w:after="0" w:line="240" w:lineRule="auto"/>
        <w:jc w:val="center"/>
        <w:rPr>
          <w:rFonts w:ascii="Times New Roman" w:hAnsi="Times New Roman"/>
          <w:b/>
          <w:sz w:val="24"/>
          <w:szCs w:val="24"/>
          <w:lang w:val="ro-RO"/>
        </w:rPr>
      </w:pP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 xml:space="preserve">Comisia Electorală Centrală, consiliile electorale de circumscripţie, birourile electorale ale secţiilor de votare organizează procesele electorale în modul cel mai optim pentru a asigura accesibilitatea persoanelor cu dizabilităţi la exercitarea drepturilor lor electorale în mod direct, secret și liber exprimat.  </w:t>
      </w: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Comisia Electorală Centrală, consiliile electorale de circumscripţie, birourile electorale ale secţiilor de votare aplică un design universal al documentelor și materialelor electorale, elaborînd acest design potrivit ultimelor standarde internaționale în domeniu.</w:t>
      </w:r>
    </w:p>
    <w:p w:rsid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 xml:space="preserve">Comisia Electorală Centrală, consiliile electorale de circumscripţie, birourile electorale ale secţiilor de votare asigură dreptul persoanelor cu dizabilităţi la votare asistată în condițiile Codului electoral, astfel încît dreptul acestora de a lua decizii să nu fie limitat. </w:t>
      </w:r>
    </w:p>
    <w:p w:rsidR="004537AF" w:rsidRPr="004537AF" w:rsidRDefault="004537AF" w:rsidP="004537AF">
      <w:pPr>
        <w:spacing w:after="0" w:line="240" w:lineRule="auto"/>
        <w:ind w:left="720"/>
        <w:jc w:val="both"/>
        <w:rPr>
          <w:rFonts w:ascii="Times New Roman" w:hAnsi="Times New Roman"/>
          <w:sz w:val="24"/>
          <w:szCs w:val="24"/>
          <w:lang w:val="ro-RO"/>
        </w:rPr>
      </w:pPr>
    </w:p>
    <w:p w:rsidR="004537AF" w:rsidRP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Capitolul III.</w:t>
      </w:r>
      <w:r>
        <w:rPr>
          <w:rFonts w:ascii="Times New Roman" w:hAnsi="Times New Roman"/>
          <w:b/>
          <w:sz w:val="24"/>
          <w:szCs w:val="24"/>
          <w:lang w:val="ro-RO"/>
        </w:rPr>
        <w:t xml:space="preserve"> </w:t>
      </w:r>
      <w:r w:rsidRPr="004537AF">
        <w:rPr>
          <w:rFonts w:ascii="Times New Roman" w:hAnsi="Times New Roman"/>
          <w:b/>
          <w:sz w:val="24"/>
          <w:szCs w:val="24"/>
          <w:lang w:val="ro-RO"/>
        </w:rPr>
        <w:t>Responsabilități</w:t>
      </w:r>
    </w:p>
    <w:p w:rsidR="004537AF" w:rsidRPr="004537AF" w:rsidRDefault="004537AF" w:rsidP="004537AF">
      <w:pPr>
        <w:spacing w:after="0" w:line="240" w:lineRule="auto"/>
        <w:jc w:val="center"/>
        <w:rPr>
          <w:rFonts w:ascii="Times New Roman" w:hAnsi="Times New Roman"/>
          <w:b/>
          <w:sz w:val="24"/>
          <w:szCs w:val="24"/>
          <w:lang w:val="ro-RO"/>
        </w:rPr>
      </w:pPr>
    </w:p>
    <w:p w:rsid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Secțiunea I: Responsabilitatea organelor electorale de a asigura dreptul de a alege și dreptul de a fi ales pentru persoanele cu dizabilități</w:t>
      </w:r>
    </w:p>
    <w:p w:rsidR="004537AF" w:rsidRPr="004537AF" w:rsidRDefault="004537AF" w:rsidP="004537AF">
      <w:pPr>
        <w:spacing w:after="0" w:line="240" w:lineRule="auto"/>
        <w:jc w:val="center"/>
        <w:rPr>
          <w:rFonts w:ascii="Times New Roman" w:hAnsi="Times New Roman"/>
          <w:b/>
          <w:sz w:val="24"/>
          <w:szCs w:val="24"/>
          <w:lang w:val="ro-RO"/>
        </w:rPr>
      </w:pP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Organele electorale de toate nivelurile, împreună cu organele administrației publice locale asigură adaptarea rezonabilă a secțiilor de votare pentru persoanele cu dizabilități locomotorii, persoanele în vîrstă, inclusiv grupurile cu mobilitate redusă, pentru parcursul ordonat și nediscriminatoriu al acestora.</w:t>
      </w: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Comisia Electorală Centrală monitorizează amplasarea secțiilor de votare în locuri publice accesibile pentru persoanele cu dizabilități.</w:t>
      </w: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Comisia Electorală Centrală, în colaborare cu Consiliul Coordonator al Audiovizualului, recomandă concurenților electorali și instituțiilor mass-media utilizarea mijloacelor tehnice speciale de informare, accesibile pentru persoanele cu dizabilități.</w:t>
      </w: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Comisia Electorală Centrală, în limita posibilităților, va asigura persoanelor cu dizabilități dispozitive speciale adaptate sporirii accesibilității acestora la exercitarea de sine stătătoare a dreptului de vot (buletine în limbaj Braille, rigle, lămpi, lupe etc).</w:t>
      </w:r>
    </w:p>
    <w:p w:rsidR="004537AF" w:rsidRPr="004537AF" w:rsidRDefault="004537AF" w:rsidP="004537AF">
      <w:pPr>
        <w:spacing w:after="0" w:line="240" w:lineRule="auto"/>
        <w:jc w:val="center"/>
        <w:rPr>
          <w:rFonts w:ascii="Times New Roman" w:hAnsi="Times New Roman"/>
          <w:b/>
          <w:sz w:val="24"/>
          <w:szCs w:val="24"/>
          <w:lang w:val="ro-RO"/>
        </w:rPr>
      </w:pPr>
    </w:p>
    <w:p w:rsid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Secțiunea II: Responsabilitatea organelor administrației publice locale de a asigura drepturile electorale pentru persoanele cu dizabilități</w:t>
      </w:r>
    </w:p>
    <w:p w:rsidR="004537AF" w:rsidRPr="004537AF" w:rsidRDefault="004537AF" w:rsidP="004537AF">
      <w:pPr>
        <w:spacing w:after="0" w:line="240" w:lineRule="auto"/>
        <w:jc w:val="center"/>
        <w:rPr>
          <w:rFonts w:ascii="Times New Roman" w:hAnsi="Times New Roman"/>
          <w:b/>
          <w:sz w:val="24"/>
          <w:szCs w:val="24"/>
          <w:lang w:val="ro-RO"/>
        </w:rPr>
      </w:pP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Organele administrației publice locale se obligă să pună la dispoziția organelor electorale localuri pentru exercitarea drepturilor electorale, care vor fi ușor accesibile pentru persoanele cu dizabilități locomotorii, cu o bună și funcțională iluminare electrică, inclusiv încălzire în cazul temperaturilor joase.</w:t>
      </w: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Organele administrației publice locale sînt responsabile pentru amplasarea rampelor la secțiile de votare. Rampele de adaptare rezonabilă destinate persoanelor cu dizabilități trebuie fixate cu ciment sau șuruburi de sol. Rampele semipermanente sunt amplasate pe un postament de ciment sau pămînt și sunt folosite pe termen scurt. Rampele mobile sunt fabricate de obicei din aluminiu și se pot plia pentru a putea fi transportate cu ușurință. Parametrii tehnici ai rampelor sunt următorii:</w:t>
      </w:r>
    </w:p>
    <w:p w:rsidR="004537AF" w:rsidRPr="004537AF" w:rsidRDefault="004537AF" w:rsidP="00736E8B">
      <w:pPr>
        <w:numPr>
          <w:ilvl w:val="0"/>
          <w:numId w:val="3"/>
        </w:numPr>
        <w:spacing w:after="0" w:line="240" w:lineRule="auto"/>
        <w:ind w:left="990" w:firstLine="0"/>
        <w:jc w:val="both"/>
        <w:rPr>
          <w:rFonts w:ascii="Times New Roman" w:hAnsi="Times New Roman"/>
          <w:sz w:val="24"/>
          <w:szCs w:val="24"/>
          <w:lang w:val="ro-RO"/>
        </w:rPr>
      </w:pPr>
      <w:r w:rsidRPr="004537AF">
        <w:rPr>
          <w:rFonts w:ascii="Times New Roman" w:hAnsi="Times New Roman"/>
          <w:sz w:val="24"/>
          <w:szCs w:val="24"/>
          <w:lang w:val="ro-RO"/>
        </w:rPr>
        <w:t>lățimea minimă a rampei: 90 cm;</w:t>
      </w:r>
    </w:p>
    <w:p w:rsidR="004537AF" w:rsidRPr="004537AF" w:rsidRDefault="004537AF" w:rsidP="00736E8B">
      <w:pPr>
        <w:numPr>
          <w:ilvl w:val="0"/>
          <w:numId w:val="3"/>
        </w:numPr>
        <w:spacing w:after="0" w:line="240" w:lineRule="auto"/>
        <w:ind w:left="990" w:firstLine="0"/>
        <w:jc w:val="both"/>
        <w:rPr>
          <w:rFonts w:ascii="Times New Roman" w:hAnsi="Times New Roman"/>
          <w:sz w:val="24"/>
          <w:szCs w:val="24"/>
          <w:lang w:val="ro-RO"/>
        </w:rPr>
      </w:pPr>
      <w:r w:rsidRPr="004537AF">
        <w:rPr>
          <w:rFonts w:ascii="Times New Roman" w:hAnsi="Times New Roman"/>
          <w:sz w:val="24"/>
          <w:szCs w:val="24"/>
          <w:lang w:val="ro-RO"/>
        </w:rPr>
        <w:t>panta maximă a rampei: 2,5 cm la fiecare 30 cm de parcurs;</w:t>
      </w:r>
    </w:p>
    <w:p w:rsidR="004537AF" w:rsidRPr="004537AF" w:rsidRDefault="004537AF" w:rsidP="00736E8B">
      <w:pPr>
        <w:numPr>
          <w:ilvl w:val="0"/>
          <w:numId w:val="3"/>
        </w:numPr>
        <w:spacing w:after="0" w:line="240" w:lineRule="auto"/>
        <w:ind w:left="990" w:firstLine="0"/>
        <w:jc w:val="both"/>
        <w:rPr>
          <w:rFonts w:ascii="Times New Roman" w:hAnsi="Times New Roman"/>
          <w:sz w:val="24"/>
          <w:szCs w:val="24"/>
          <w:lang w:val="ro-RO"/>
        </w:rPr>
      </w:pPr>
      <w:r w:rsidRPr="004537AF">
        <w:rPr>
          <w:rFonts w:ascii="Times New Roman" w:hAnsi="Times New Roman"/>
          <w:sz w:val="24"/>
          <w:szCs w:val="24"/>
          <w:lang w:val="ro-RO"/>
        </w:rPr>
        <w:t>elevația maximă a posteriorului rampei: 75 cm;</w:t>
      </w:r>
    </w:p>
    <w:p w:rsidR="004537AF" w:rsidRPr="004537AF" w:rsidRDefault="004537AF" w:rsidP="00736E8B">
      <w:pPr>
        <w:numPr>
          <w:ilvl w:val="0"/>
          <w:numId w:val="3"/>
        </w:numPr>
        <w:spacing w:after="0" w:line="240" w:lineRule="auto"/>
        <w:ind w:left="990" w:firstLine="0"/>
        <w:jc w:val="both"/>
        <w:rPr>
          <w:rFonts w:ascii="Times New Roman" w:hAnsi="Times New Roman"/>
          <w:sz w:val="24"/>
          <w:szCs w:val="24"/>
          <w:lang w:val="ro-RO"/>
        </w:rPr>
      </w:pPr>
      <w:r w:rsidRPr="004537AF">
        <w:rPr>
          <w:rFonts w:ascii="Times New Roman" w:hAnsi="Times New Roman"/>
          <w:sz w:val="24"/>
          <w:szCs w:val="24"/>
          <w:lang w:val="ro-RO"/>
        </w:rPr>
        <w:t>distanța minimă între barele rampei și zidul clădirii: 3,75 cm;</w:t>
      </w:r>
    </w:p>
    <w:p w:rsidR="004537AF" w:rsidRPr="004537AF" w:rsidRDefault="004537AF" w:rsidP="00736E8B">
      <w:pPr>
        <w:numPr>
          <w:ilvl w:val="0"/>
          <w:numId w:val="3"/>
        </w:numPr>
        <w:spacing w:after="0" w:line="240" w:lineRule="auto"/>
        <w:ind w:left="990" w:firstLine="0"/>
        <w:jc w:val="both"/>
        <w:rPr>
          <w:rFonts w:ascii="Times New Roman" w:hAnsi="Times New Roman"/>
          <w:sz w:val="24"/>
          <w:szCs w:val="24"/>
          <w:lang w:val="ro-RO"/>
        </w:rPr>
      </w:pPr>
      <w:r w:rsidRPr="004537AF">
        <w:rPr>
          <w:rFonts w:ascii="Times New Roman" w:hAnsi="Times New Roman"/>
          <w:sz w:val="24"/>
          <w:szCs w:val="24"/>
          <w:lang w:val="ro-RO"/>
        </w:rPr>
        <w:t>barele - obligatoriu instalate de ambele parți ale rampei, la mai puțin de 75 cm înălțime.</w:t>
      </w:r>
    </w:p>
    <w:p w:rsidR="004537AF" w:rsidRPr="004537AF" w:rsidRDefault="004537AF" w:rsidP="004537AF">
      <w:pPr>
        <w:spacing w:after="0" w:line="240" w:lineRule="auto"/>
        <w:jc w:val="both"/>
        <w:rPr>
          <w:rFonts w:ascii="Times New Roman" w:hAnsi="Times New Roman"/>
          <w:sz w:val="24"/>
          <w:szCs w:val="24"/>
          <w:lang w:val="ro-RO"/>
        </w:rPr>
      </w:pPr>
    </w:p>
    <w:p w:rsid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Secțiunea III: Responsabilitatea concurenților electorali, instituțiilor media și societății civile de a asigura drepturile electorale pentru persoanele cu dizabilități</w:t>
      </w:r>
    </w:p>
    <w:p w:rsidR="004537AF" w:rsidRPr="004537AF" w:rsidRDefault="004537AF" w:rsidP="004537AF">
      <w:pPr>
        <w:spacing w:after="0" w:line="240" w:lineRule="auto"/>
        <w:jc w:val="center"/>
        <w:rPr>
          <w:rFonts w:ascii="Times New Roman" w:hAnsi="Times New Roman"/>
          <w:b/>
          <w:sz w:val="24"/>
          <w:szCs w:val="24"/>
          <w:lang w:val="ro-RO"/>
        </w:rPr>
      </w:pP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Partidele, organizațiile social-politice, blocurile electorale și candidații independenți sunt responsabili de respectarea principiului nediscriminării persoanelor cu dizabilități în cadrul promovării politice și agitației electorale.</w:t>
      </w: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Persoanelor cu dizabilități le este garantat dreptul neîngrădit și nediscriminatoriu de a fi incluși în listele de candidați de către concurenții electorali și de a participa pro-activ în procesul electoral.</w:t>
      </w: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În cadrul campaniilor electorale instituțiile media și membrii societății civile asigură respectarea drepturilor electorale ale persoanelor cu dizabilități, precum și accesul statului la informația despre statisticile privind incluziunea socială a persoanelor cu dizabilități.</w:t>
      </w:r>
    </w:p>
    <w:p w:rsidR="004537AF" w:rsidRPr="004537AF" w:rsidRDefault="004537AF" w:rsidP="004537AF">
      <w:pPr>
        <w:spacing w:after="0" w:line="240" w:lineRule="auto"/>
        <w:jc w:val="center"/>
        <w:rPr>
          <w:rFonts w:ascii="Times New Roman" w:hAnsi="Times New Roman"/>
          <w:b/>
          <w:sz w:val="24"/>
          <w:szCs w:val="24"/>
          <w:lang w:val="ro-RO"/>
        </w:rPr>
      </w:pPr>
    </w:p>
    <w:p w:rsidR="004537AF" w:rsidRDefault="004537AF" w:rsidP="004537AF">
      <w:pPr>
        <w:spacing w:after="0" w:line="240" w:lineRule="auto"/>
        <w:jc w:val="center"/>
        <w:rPr>
          <w:rFonts w:ascii="Times New Roman" w:hAnsi="Times New Roman"/>
          <w:b/>
          <w:sz w:val="24"/>
          <w:szCs w:val="24"/>
          <w:lang w:val="ro-RO"/>
        </w:rPr>
      </w:pPr>
      <w:r w:rsidRPr="004537AF">
        <w:rPr>
          <w:rFonts w:ascii="Times New Roman" w:hAnsi="Times New Roman"/>
          <w:b/>
          <w:sz w:val="24"/>
          <w:szCs w:val="24"/>
          <w:lang w:val="ro-RO"/>
        </w:rPr>
        <w:t>Capitolul VII.</w:t>
      </w:r>
      <w:r>
        <w:rPr>
          <w:rFonts w:ascii="Times New Roman" w:hAnsi="Times New Roman"/>
          <w:b/>
          <w:sz w:val="24"/>
          <w:szCs w:val="24"/>
          <w:lang w:val="ro-RO"/>
        </w:rPr>
        <w:t xml:space="preserve"> </w:t>
      </w:r>
      <w:r w:rsidRPr="004537AF">
        <w:rPr>
          <w:rFonts w:ascii="Times New Roman" w:hAnsi="Times New Roman"/>
          <w:b/>
          <w:sz w:val="24"/>
          <w:szCs w:val="24"/>
          <w:lang w:val="ro-RO"/>
        </w:rPr>
        <w:t>Dispoziții finale</w:t>
      </w:r>
    </w:p>
    <w:p w:rsidR="004537AF" w:rsidRPr="004537AF" w:rsidRDefault="004537AF" w:rsidP="004537AF">
      <w:pPr>
        <w:spacing w:after="0" w:line="240" w:lineRule="auto"/>
        <w:jc w:val="center"/>
        <w:rPr>
          <w:rFonts w:ascii="Times New Roman" w:hAnsi="Times New Roman"/>
          <w:sz w:val="24"/>
          <w:szCs w:val="24"/>
          <w:lang w:val="ro-RO"/>
        </w:rPr>
      </w:pPr>
    </w:p>
    <w:p w:rsidR="004537AF" w:rsidRPr="004537AF" w:rsidRDefault="004537AF" w:rsidP="004537AF">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Interpretarea și implementarea normelor electorale se va efectua în mod prioritar prin favorizarea accesului la drepturile electorale pentru persoanele cu dizabilități.</w:t>
      </w:r>
    </w:p>
    <w:p w:rsidR="004537AF" w:rsidRPr="004537AF" w:rsidRDefault="004537AF" w:rsidP="00F6298D">
      <w:pPr>
        <w:numPr>
          <w:ilvl w:val="0"/>
          <w:numId w:val="1"/>
        </w:numPr>
        <w:spacing w:after="0" w:line="240" w:lineRule="auto"/>
        <w:ind w:left="0" w:firstLine="720"/>
        <w:jc w:val="both"/>
        <w:rPr>
          <w:rFonts w:ascii="Times New Roman" w:hAnsi="Times New Roman"/>
          <w:sz w:val="24"/>
          <w:szCs w:val="24"/>
          <w:lang w:val="ro-RO"/>
        </w:rPr>
      </w:pPr>
      <w:r w:rsidRPr="004537AF">
        <w:rPr>
          <w:rFonts w:ascii="Times New Roman" w:hAnsi="Times New Roman"/>
          <w:sz w:val="24"/>
          <w:szCs w:val="24"/>
          <w:lang w:val="ro-RO"/>
        </w:rPr>
        <w:t>Executarea prezentului regulament se pune în sarcina Comisiei Electorale Centrale, Centrului de Instruire Continuă în Domeniul Electoral, consiliilor electorale de circumscripţie, birourilor electorale ale secţiilor de votare, organelor administrației publice locale, concurenților electorali și i</w:t>
      </w:r>
      <w:bookmarkStart w:id="0" w:name="_GoBack"/>
      <w:bookmarkEnd w:id="0"/>
      <w:r w:rsidRPr="004537AF">
        <w:rPr>
          <w:rFonts w:ascii="Times New Roman" w:hAnsi="Times New Roman"/>
          <w:sz w:val="24"/>
          <w:szCs w:val="24"/>
          <w:lang w:val="ro-RO"/>
        </w:rPr>
        <w:t>nstituțiilor mass-media.</w:t>
      </w:r>
    </w:p>
    <w:sectPr w:rsidR="004537AF" w:rsidRPr="004537AF" w:rsidSect="004537AF">
      <w:pgSz w:w="11906" w:h="16838"/>
      <w:pgMar w:top="1138" w:right="835" w:bottom="1138" w:left="1714" w:header="708" w:footer="4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AF" w:rsidRDefault="004537AF" w:rsidP="004537AF">
      <w:pPr>
        <w:spacing w:after="0" w:line="240" w:lineRule="auto"/>
      </w:pPr>
      <w:r>
        <w:separator/>
      </w:r>
    </w:p>
  </w:endnote>
  <w:endnote w:type="continuationSeparator" w:id="0">
    <w:p w:rsidR="004537AF" w:rsidRDefault="004537AF" w:rsidP="0045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AF" w:rsidRDefault="004537AF" w:rsidP="004537AF">
      <w:pPr>
        <w:spacing w:after="0" w:line="240" w:lineRule="auto"/>
      </w:pPr>
      <w:r>
        <w:separator/>
      </w:r>
    </w:p>
  </w:footnote>
  <w:footnote w:type="continuationSeparator" w:id="0">
    <w:p w:rsidR="004537AF" w:rsidRDefault="004537AF" w:rsidP="00453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73B67"/>
    <w:multiLevelType w:val="hybridMultilevel"/>
    <w:tmpl w:val="E1C6F920"/>
    <w:lvl w:ilvl="0" w:tplc="F6140B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31D3D"/>
    <w:multiLevelType w:val="hybridMultilevel"/>
    <w:tmpl w:val="1B12CC66"/>
    <w:lvl w:ilvl="0" w:tplc="F32A47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50497"/>
    <w:multiLevelType w:val="hybridMultilevel"/>
    <w:tmpl w:val="926A5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FC"/>
    <w:rsid w:val="00095671"/>
    <w:rsid w:val="001F08B8"/>
    <w:rsid w:val="004537AF"/>
    <w:rsid w:val="00736E8B"/>
    <w:rsid w:val="0088567C"/>
    <w:rsid w:val="009833FC"/>
    <w:rsid w:val="009B5A55"/>
    <w:rsid w:val="00A821E2"/>
    <w:rsid w:val="00C4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F29027-216A-4747-A858-FF51A30D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55"/>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40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7AF"/>
    <w:rPr>
      <w:rFonts w:ascii="Calibri" w:eastAsia="Calibri" w:hAnsi="Calibri" w:cs="Times New Roman"/>
      <w:lang w:val="ru-RU"/>
    </w:rPr>
  </w:style>
  <w:style w:type="paragraph" w:styleId="Footer">
    <w:name w:val="footer"/>
    <w:basedOn w:val="Normal"/>
    <w:link w:val="FooterChar"/>
    <w:uiPriority w:val="99"/>
    <w:unhideWhenUsed/>
    <w:rsid w:val="0045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7AF"/>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Angheli Cristina</dc:creator>
  <cp:keywords/>
  <dc:description/>
  <cp:lastModifiedBy>Iana Coziriuc</cp:lastModifiedBy>
  <cp:revision>5</cp:revision>
  <dcterms:created xsi:type="dcterms:W3CDTF">2016-01-27T06:32:00Z</dcterms:created>
  <dcterms:modified xsi:type="dcterms:W3CDTF">2016-01-27T09:26:00Z</dcterms:modified>
</cp:coreProperties>
</file>