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A711" w14:textId="77777777" w:rsidR="00B05426" w:rsidRPr="007F5AB8" w:rsidRDefault="00B05426" w:rsidP="00B05426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</w:pP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Утверждено</w:t>
      </w:r>
    </w:p>
    <w:p w14:paraId="5451ABC8" w14:textId="324C203F" w:rsidR="00B05426" w:rsidRPr="007F5AB8" w:rsidRDefault="00B05426" w:rsidP="00B05426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</w:pP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Постановлением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Центральной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избирательной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комиссии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  <w:t>1104/2023</w:t>
      </w:r>
    </w:p>
    <w:p w14:paraId="5C37FDA2" w14:textId="77777777" w:rsidR="00B05426" w:rsidRPr="007F5AB8" w:rsidRDefault="00B05426" w:rsidP="00B0542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</w:pPr>
    </w:p>
    <w:p w14:paraId="6B0A11DB" w14:textId="77777777" w:rsidR="00B05426" w:rsidRPr="007F5AB8" w:rsidRDefault="00B05426" w:rsidP="00B0542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ro-RO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bidi="ro-RO"/>
        </w:rPr>
        <w:t>ПОЛОЖЕНИЕ</w:t>
      </w:r>
    </w:p>
    <w:p w14:paraId="5CD31E7F" w14:textId="6390E15E" w:rsidR="000A4A8B" w:rsidRPr="007F5AB8" w:rsidRDefault="000A4A8B" w:rsidP="00C92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о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процедуре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подтверждения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законности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выборов,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признания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действительными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мандатов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примара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советника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их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распределения</w:t>
      </w:r>
    </w:p>
    <w:p w14:paraId="2A45C940" w14:textId="77777777" w:rsidR="000A4A8B" w:rsidRPr="007F5AB8" w:rsidRDefault="000A4A8B" w:rsidP="00C92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2650B82B" w14:textId="2B73D2FA" w:rsidR="00903A11" w:rsidRPr="007F5AB8" w:rsidRDefault="00B05426" w:rsidP="00C92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I.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Общие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положения</w:t>
      </w:r>
    </w:p>
    <w:p w14:paraId="01B60292" w14:textId="77777777" w:rsidR="009431B6" w:rsidRPr="007F5AB8" w:rsidRDefault="009431B6" w:rsidP="00C92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294936BD" w14:textId="3A87B411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опровержения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досрочного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полномочий,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резервному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кандидату.</w:t>
      </w:r>
    </w:p>
    <w:p w14:paraId="78C5C819" w14:textId="024DF0F1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ясности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избежание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загромождения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мужского/женского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термины,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обозначающие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употребляются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мужского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носят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инклюзивный/несексистский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характер.</w:t>
      </w:r>
    </w:p>
    <w:p w14:paraId="569A664F" w14:textId="79100333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обнародуется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156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325/2022.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436/2006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публичном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численности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административно-территориальной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единицы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состоянию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выборы,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Агентством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</w:t>
      </w:r>
    </w:p>
    <w:p w14:paraId="722E4FB8" w14:textId="77777777" w:rsidR="00461174" w:rsidRPr="007F5AB8" w:rsidRDefault="00461174" w:rsidP="00C92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tbl>
      <w:tblPr>
        <w:tblStyle w:val="a"/>
        <w:tblW w:w="8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710"/>
      </w:tblGrid>
      <w:tr w:rsidR="00112263" w:rsidRPr="007F5AB8" w14:paraId="58DCCCAA" w14:textId="77777777" w:rsidTr="00C92BC8">
        <w:trPr>
          <w:trHeight w:val="481"/>
        </w:trPr>
        <w:tc>
          <w:tcPr>
            <w:tcW w:w="6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90937" w14:textId="2302DA77" w:rsidR="00903A11" w:rsidRPr="007F5AB8" w:rsidRDefault="000A4A8B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Численность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населения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административно-территориальной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2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33D21" w14:textId="3C7EB957" w:rsidR="00903A11" w:rsidRPr="007F5AB8" w:rsidRDefault="003A24EE" w:rsidP="003A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Число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0A4A8B"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советников</w:t>
            </w:r>
          </w:p>
        </w:tc>
      </w:tr>
      <w:tr w:rsidR="00112263" w:rsidRPr="007F5AB8" w14:paraId="04B7B710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48002" w14:textId="5E0CB8F3" w:rsidR="00903A11" w:rsidRPr="007F5AB8" w:rsidRDefault="000A4A8B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26CF95EF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9</w:t>
            </w:r>
          </w:p>
        </w:tc>
      </w:tr>
      <w:tr w:rsidR="00112263" w:rsidRPr="007F5AB8" w14:paraId="4F04DE29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68DFF" w14:textId="2FCB4437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2500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0BB2376C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11</w:t>
            </w:r>
          </w:p>
        </w:tc>
      </w:tr>
      <w:tr w:rsidR="00112263" w:rsidRPr="007F5AB8" w14:paraId="0747A160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BA004" w14:textId="16D75C9F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2501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06C67A1F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13</w:t>
            </w:r>
          </w:p>
        </w:tc>
      </w:tr>
      <w:tr w:rsidR="00112263" w:rsidRPr="007F5AB8" w14:paraId="717B0FF1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6967F" w14:textId="27EEE6C5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31C86FF0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</w:t>
            </w:r>
          </w:p>
        </w:tc>
      </w:tr>
      <w:tr w:rsidR="00112263" w:rsidRPr="007F5AB8" w14:paraId="53A13123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94E0" w14:textId="5A2361E0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6B9F26D2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17</w:t>
            </w:r>
          </w:p>
        </w:tc>
      </w:tr>
      <w:tr w:rsidR="00112263" w:rsidRPr="007F5AB8" w14:paraId="29D7960E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6E673" w14:textId="6B3401E6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5A23C8B4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23</w:t>
            </w:r>
          </w:p>
        </w:tc>
      </w:tr>
      <w:tr w:rsidR="00112263" w:rsidRPr="007F5AB8" w14:paraId="7201E457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469CE" w14:textId="258AF970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147BF20F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27</w:t>
            </w:r>
          </w:p>
        </w:tc>
      </w:tr>
      <w:tr w:rsidR="00112263" w:rsidRPr="007F5AB8" w14:paraId="7EAC982C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1D4F7" w14:textId="28C527AD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50001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5473EF35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33</w:t>
            </w:r>
          </w:p>
        </w:tc>
      </w:tr>
      <w:tr w:rsidR="00112263" w:rsidRPr="007F5AB8" w14:paraId="144D31ED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BA9C" w14:textId="3A5D249D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100001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до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2041B86F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35</w:t>
            </w:r>
          </w:p>
        </w:tc>
      </w:tr>
      <w:tr w:rsidR="00112263" w:rsidRPr="007F5AB8" w14:paraId="18D383C2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FC07" w14:textId="4D5DE972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свыше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1B6"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200000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1F519BD2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43</w:t>
            </w:r>
          </w:p>
        </w:tc>
      </w:tr>
      <w:tr w:rsidR="00903A11" w:rsidRPr="007F5AB8" w14:paraId="758959C2" w14:textId="77777777" w:rsidTr="00C92BC8">
        <w:trPr>
          <w:trHeight w:val="2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2735C" w14:textId="47852344" w:rsidR="00903A11" w:rsidRPr="007F5AB8" w:rsidRDefault="000A4A8B" w:rsidP="000A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Муниципальный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совет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Кишинэу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12C047A6" w14:textId="77777777" w:rsidR="00903A11" w:rsidRPr="007F5AB8" w:rsidRDefault="009431B6" w:rsidP="00B05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51</w:t>
            </w:r>
          </w:p>
        </w:tc>
      </w:tr>
    </w:tbl>
    <w:p w14:paraId="314558FF" w14:textId="77777777" w:rsidR="00903A11" w:rsidRPr="007F5AB8" w:rsidRDefault="00903A11" w:rsidP="00C92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2989E797" w14:textId="57B798CF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всеобщих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административно-территориальных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единиц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административно-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территориальных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единиц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уровня,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комиссии.</w:t>
      </w:r>
    </w:p>
    <w:p w14:paraId="2A865E6E" w14:textId="088B3BCD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образованным,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третей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совета.</w:t>
      </w:r>
    </w:p>
    <w:p w14:paraId="7FE15BE0" w14:textId="75C995C3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избранным,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набрал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избирателей,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голосовании.</w:t>
      </w:r>
    </w:p>
    <w:p w14:paraId="038EB03E" w14:textId="0980ED00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набравший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наибольшее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равенства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набравший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наибольшее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набрали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равное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жеребьевку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жеребьевки,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положение</w:t>
      </w:r>
      <w:r w:rsidR="00D259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жеребьевке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постановлению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примара.</w:t>
      </w:r>
    </w:p>
    <w:p w14:paraId="140BE469" w14:textId="6A72BA7A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свою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кандидатуру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оставшимся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считается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избранным,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набрал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крайней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избирателей,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175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кодекса.</w:t>
      </w:r>
    </w:p>
    <w:p w14:paraId="1EBB1A53" w14:textId="77777777" w:rsidR="00B55A30" w:rsidRPr="007F5AB8" w:rsidRDefault="00B55A30" w:rsidP="00B55A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59D74C21" w14:textId="5522FE3D" w:rsidR="003A24EE" w:rsidRPr="007F5AB8" w:rsidRDefault="000A4A8B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2683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II</w:t>
      </w:r>
      <w:r w:rsidR="00063E65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Подтверждение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законности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выборов</w:t>
      </w:r>
    </w:p>
    <w:p w14:paraId="3F7F75FD" w14:textId="7C2DDA79" w:rsidR="00B82683" w:rsidRPr="007F5AB8" w:rsidRDefault="000A4A8B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признание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действительны</w:t>
      </w:r>
      <w:r w:rsidR="003A24EE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A24EE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мандатов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A24EE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примара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A24EE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A24EE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советника</w:t>
      </w:r>
    </w:p>
    <w:p w14:paraId="36F7464D" w14:textId="77777777" w:rsidR="00C92BC8" w:rsidRPr="007F5AB8" w:rsidRDefault="00C92BC8" w:rsidP="003A24E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7DE444D" w14:textId="51829420" w:rsidR="00903A11" w:rsidRPr="007F5AB8" w:rsidRDefault="000A4A8B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A55D95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1.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Срок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способ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подтверждения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результатов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8E32A8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выборов</w:t>
      </w:r>
    </w:p>
    <w:p w14:paraId="0BF07A65" w14:textId="77777777" w:rsidR="003A24EE" w:rsidRPr="007F5AB8" w:rsidRDefault="003A24EE" w:rsidP="003A24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68F939D0" w14:textId="78A6E699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десятидневный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бюро,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окончательного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судебными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инстанциями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процедурами,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либо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неподтверждении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соответствующему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избирательному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комиссии.</w:t>
      </w:r>
    </w:p>
    <w:p w14:paraId="3C2BC617" w14:textId="6271CD2C" w:rsidR="00123515" w:rsidRPr="00123515" w:rsidRDefault="00123515" w:rsidP="0012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окончательные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веб-странице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«Выборы</w:t>
      </w:r>
      <w:r w:rsidR="00D259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референдумы»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всеобщих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подготавливает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итогах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подписываемый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членами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содержит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результаты:</w:t>
      </w:r>
    </w:p>
    <w:p w14:paraId="606EB7B4" w14:textId="77777777" w:rsidR="00E55398" w:rsidRPr="007F5AB8" w:rsidRDefault="00E55398" w:rsidP="00E55398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  <w:t>В случае проведения первого тура голосования:</w:t>
      </w:r>
    </w:p>
    <w:p w14:paraId="128A4E4F" w14:textId="76A9BBCA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  <w:t>в муниципальный совет Кишинэу и муниципальный совет Бэлць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5EEADEF9" w14:textId="68963854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районные советы;</w:t>
      </w:r>
    </w:p>
    <w:p w14:paraId="7378F216" w14:textId="65FBE9C5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сельские (коммунальные), городские (муниципальные) советы;</w:t>
      </w:r>
    </w:p>
    <w:p w14:paraId="01EC2AF6" w14:textId="0C44230E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генерального примара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муниципия Кишинэу;</w:t>
      </w:r>
    </w:p>
    <w:p w14:paraId="5C38C14F" w14:textId="2D01868F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примара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муниципия Бэлць;</w:t>
      </w:r>
    </w:p>
    <w:p w14:paraId="085CD869" w14:textId="2E93F7D0" w:rsidR="00E55398" w:rsidRPr="007F5AB8" w:rsidRDefault="00E55398" w:rsidP="00E55398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bookmarkEnd w:id="0"/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примаров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сел (коммун), городов (муниципиев).</w:t>
      </w:r>
    </w:p>
    <w:p w14:paraId="6CE6DD0E" w14:textId="77777777" w:rsidR="00E55398" w:rsidRPr="007F5AB8" w:rsidRDefault="00E55398" w:rsidP="00E55398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Georgia" w:hAnsi="Times New Roman" w:cs="Times New Roman"/>
          <w:color w:val="000000" w:themeColor="text1"/>
          <w:sz w:val="24"/>
          <w:szCs w:val="24"/>
          <w:lang w:val="ru-RU"/>
        </w:rPr>
        <w:t>В случае проведения второго тура голосования, по обстоятельствам:</w:t>
      </w:r>
    </w:p>
    <w:p w14:paraId="6FBB42AA" w14:textId="7BCE9835" w:rsidR="00E55398" w:rsidRPr="007F5AB8" w:rsidRDefault="00E55398" w:rsidP="00E55398">
      <w:pPr>
        <w:numPr>
          <w:ilvl w:val="0"/>
          <w:numId w:val="7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генерального примара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муниципия Кишинэу;</w:t>
      </w:r>
    </w:p>
    <w:p w14:paraId="7DF97934" w14:textId="3FB2366B" w:rsidR="00E55398" w:rsidRPr="007F5AB8" w:rsidRDefault="00E55398" w:rsidP="00E55398">
      <w:pPr>
        <w:numPr>
          <w:ilvl w:val="0"/>
          <w:numId w:val="7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примара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муниципия Бэлць;</w:t>
      </w:r>
    </w:p>
    <w:p w14:paraId="66ABAD0F" w14:textId="32DE88CE" w:rsidR="00E55398" w:rsidRPr="007F5AB8" w:rsidRDefault="00E55398" w:rsidP="00E55398">
      <w:pPr>
        <w:numPr>
          <w:ilvl w:val="0"/>
          <w:numId w:val="7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7F5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за примаров</w:t>
      </w:r>
      <w:r w:rsidRPr="007F5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сел (коммун), городов (муниципиев).</w:t>
      </w:r>
    </w:p>
    <w:p w14:paraId="4365E7FA" w14:textId="77777777" w:rsidR="0064179F" w:rsidRPr="007F5AB8" w:rsidRDefault="0064179F" w:rsidP="00856F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7E86F615" w14:textId="78B6A631" w:rsidR="00903A11" w:rsidRPr="007F5AB8" w:rsidRDefault="008E32A8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A55D95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2</w:t>
      </w:r>
      <w:r w:rsidR="00063E65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Признание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действительными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мандатов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примара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советника</w:t>
      </w:r>
    </w:p>
    <w:p w14:paraId="5FAE20C8" w14:textId="77777777" w:rsidR="00C92BC8" w:rsidRPr="007F5AB8" w:rsidRDefault="00C92BC8" w:rsidP="00856F8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1BFA4D75" w14:textId="49ED8AD9" w:rsidR="004D183F" w:rsidRPr="004D183F" w:rsidRDefault="004D183F" w:rsidP="004D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подтверждением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объявляют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распределяют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мандаты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подтверждают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образцам,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приведенным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втором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туре).</w:t>
      </w:r>
    </w:p>
    <w:p w14:paraId="6C7A447D" w14:textId="25C99B3A" w:rsidR="004D183F" w:rsidRPr="004D183F" w:rsidRDefault="004D183F" w:rsidP="004D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избранное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советника,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полномочий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должностей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образцу,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приведенному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выборное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30-дневный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несовместимости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отставке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несовместимой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мандатом,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либо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мандата.</w:t>
      </w:r>
    </w:p>
    <w:p w14:paraId="29A25816" w14:textId="6F315952" w:rsidR="004D183F" w:rsidRPr="004D183F" w:rsidRDefault="004D183F" w:rsidP="004D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роспуска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Избирательного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325/2022,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ошибок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постановлениях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неподтверждении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законности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действительными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мандатов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примара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советников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распределении,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резервных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кандидатов,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правопреемства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приобретает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процессуальные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внесению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изменений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нормативные</w:t>
      </w:r>
      <w:r w:rsidR="00D25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акты.</w:t>
      </w:r>
    </w:p>
    <w:p w14:paraId="362C756B" w14:textId="77777777" w:rsidR="00C92BC8" w:rsidRPr="004D183F" w:rsidRDefault="00C92BC8" w:rsidP="00C92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844B3B" w14:textId="04D9A43D" w:rsidR="00812F7E" w:rsidRPr="007F5AB8" w:rsidRDefault="00812F7E" w:rsidP="00812F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A55D95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3</w:t>
      </w:r>
      <w:r w:rsidR="00536D03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Распределение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мандатов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советников</w:t>
      </w:r>
    </w:p>
    <w:p w14:paraId="340B3A5B" w14:textId="4606CCF0" w:rsidR="00C92BC8" w:rsidRPr="007F5AB8" w:rsidRDefault="00812F7E" w:rsidP="00812F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после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подведения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итогов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местных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ru-RU"/>
        </w:rPr>
        <w:t>выборов</w:t>
      </w:r>
    </w:p>
    <w:p w14:paraId="38B7D572" w14:textId="77777777" w:rsidR="00812F7E" w:rsidRPr="007F5AB8" w:rsidRDefault="00812F7E" w:rsidP="00812F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326071F" w14:textId="0C09402B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  <w:lang w:val="ru-RU"/>
        </w:rPr>
        <w:t>14.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Мандаты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распределяются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путем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последовательного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деления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каждую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политическую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партию,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каждый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блок,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2,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4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так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далее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цифры,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соответствующей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установленному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соответствующего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округа.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Перед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тем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как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приступить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процедуре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окружной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определяет:</w:t>
      </w:r>
    </w:p>
    <w:p w14:paraId="24EC054F" w14:textId="316C493D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a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общие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итоги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соответствующему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избирательному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81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84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кодекса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325/2022;</w:t>
      </w:r>
    </w:p>
    <w:p w14:paraId="0D946166" w14:textId="48F182F1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b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действительность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соответствующем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исходя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показателя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явки,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установленного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175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кодекса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325/2022;</w:t>
      </w:r>
    </w:p>
    <w:p w14:paraId="1069344A" w14:textId="075740A2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c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числа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убывания,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полученные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путем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последовательного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деления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каждую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политическую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партию,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блок,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2,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4,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…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n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(</w:t>
      </w:r>
      <w:r w:rsidRPr="004D183F">
        <w:rPr>
          <w:color w:val="000000" w:themeColor="text1"/>
        </w:rPr>
        <w:t>n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=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число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советников,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надлежащих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избрать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соответствующему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округу).</w:t>
      </w:r>
    </w:p>
    <w:p w14:paraId="2F07B122" w14:textId="5207E777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  <w:lang w:val="ru-RU"/>
        </w:rPr>
        <w:t>15.</w:t>
      </w:r>
      <w:r w:rsidR="00D259D3" w:rsidRP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При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осуществлении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последовательного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деления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учитываются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все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конкуренты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включенные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бюллетень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голосования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набравшие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избирателей.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результатов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всех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делений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независимых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кандидатов,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выбирается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столько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чисел,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сколько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необходимо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распределить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округе.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выбранных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чисел,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которыми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располагает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политическая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партия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и/или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блок,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соответствует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числу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которые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распределяются.</w:t>
      </w:r>
    </w:p>
    <w:p w14:paraId="55232C4F" w14:textId="1E0057C9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  <w:lang w:val="ru-RU"/>
        </w:rPr>
        <w:t>16.</w:t>
      </w:r>
      <w:r w:rsidR="00D259D3" w:rsidRP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Независимый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кандидат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считается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избранным,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него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вошло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выбранные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числа.</w:t>
      </w:r>
    </w:p>
    <w:p w14:paraId="4167AD10" w14:textId="49F0615B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  <w:lang w:val="ru-RU"/>
        </w:rPr>
        <w:lastRenderedPageBreak/>
        <w:t>17.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Распределение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внесения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списки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начиная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списка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который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наибольшее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голосов.</w:t>
      </w:r>
    </w:p>
    <w:p w14:paraId="41671AE6" w14:textId="77777777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  <w:lang w:val="ru-RU"/>
        </w:rPr>
        <w:t>Например:</w:t>
      </w:r>
    </w:p>
    <w:p w14:paraId="2B7FCC76" w14:textId="0E7563D4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a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сельском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округе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проживает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7030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жителей.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пунктом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настоящего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Положения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сельский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состоит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17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советников;</w:t>
      </w:r>
    </w:p>
    <w:p w14:paraId="60D39BB7" w14:textId="5B32A093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b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согласно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бюллетеню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голосования,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приняли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участие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три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(</w:t>
      </w:r>
      <w:r w:rsidRPr="004D183F">
        <w:rPr>
          <w:color w:val="000000" w:themeColor="text1"/>
        </w:rPr>
        <w:t>A</w:t>
      </w:r>
      <w:r w:rsidRPr="004D183F">
        <w:rPr>
          <w:color w:val="000000" w:themeColor="text1"/>
          <w:lang w:val="ru-RU"/>
        </w:rPr>
        <w:t>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B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F</w:t>
      </w:r>
      <w:r w:rsidRPr="004D183F">
        <w:rPr>
          <w:color w:val="000000" w:themeColor="text1"/>
          <w:lang w:val="ru-RU"/>
        </w:rPr>
        <w:t>),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один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блок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(С)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три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независимых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кандидата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(</w:t>
      </w:r>
      <w:r w:rsidRPr="004D183F">
        <w:rPr>
          <w:color w:val="000000" w:themeColor="text1"/>
        </w:rPr>
        <w:t>D</w:t>
      </w:r>
      <w:r w:rsidRPr="004D183F">
        <w:rPr>
          <w:color w:val="000000" w:themeColor="text1"/>
          <w:lang w:val="ru-RU"/>
        </w:rPr>
        <w:t>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E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G</w:t>
      </w:r>
      <w:r w:rsidRPr="004D183F">
        <w:rPr>
          <w:color w:val="000000" w:themeColor="text1"/>
          <w:lang w:val="ru-RU"/>
        </w:rPr>
        <w:t>);</w:t>
      </w:r>
    </w:p>
    <w:p w14:paraId="310994F2" w14:textId="400B4C32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c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подведения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результатов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голосования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окружным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избирательным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было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установлено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(</w:t>
      </w:r>
      <w:r w:rsidRPr="004D183F">
        <w:rPr>
          <w:color w:val="000000" w:themeColor="text1"/>
        </w:rPr>
        <w:t>g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каждого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выборах: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640;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1214;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1005;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D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380;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172;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F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169;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</w:rPr>
        <w:t>G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167;</w:t>
      </w:r>
    </w:p>
    <w:p w14:paraId="57A3DD1B" w14:textId="45168F6C" w:rsidR="004D183F" w:rsidRPr="004D183F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D183F">
        <w:rPr>
          <w:color w:val="000000" w:themeColor="text1"/>
        </w:rPr>
        <w:t>d</w:t>
      </w:r>
      <w:r w:rsidRPr="004D183F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распределение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конкурентам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учетом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наибольшего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численного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значения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действительных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поданных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за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каждого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конкурента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D183F">
        <w:rPr>
          <w:color w:val="000000" w:themeColor="text1"/>
          <w:lang w:val="ru-RU"/>
        </w:rPr>
        <w:t>выборах.</w:t>
      </w:r>
    </w:p>
    <w:p w14:paraId="7D3047A7" w14:textId="77777777" w:rsidR="00903A11" w:rsidRPr="007F5AB8" w:rsidRDefault="00903A11" w:rsidP="00C92B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highlight w:val="white"/>
          <w:lang w:val="ru-RU"/>
        </w:rPr>
      </w:pP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995"/>
        <w:gridCol w:w="992"/>
        <w:gridCol w:w="992"/>
        <w:gridCol w:w="1559"/>
        <w:gridCol w:w="1560"/>
        <w:gridCol w:w="1134"/>
        <w:gridCol w:w="1417"/>
      </w:tblGrid>
      <w:tr w:rsidR="00112263" w:rsidRPr="007F5AB8" w14:paraId="5C16448E" w14:textId="77777777" w:rsidTr="00454727">
        <w:tc>
          <w:tcPr>
            <w:tcW w:w="9214" w:type="dxa"/>
            <w:gridSpan w:val="8"/>
            <w:shd w:val="clear" w:color="auto" w:fill="auto"/>
          </w:tcPr>
          <w:p w14:paraId="590FA9FF" w14:textId="5DE757CB" w:rsidR="008F12E3" w:rsidRPr="007F5AB8" w:rsidRDefault="008F12E3" w:rsidP="008F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УБЫВАЮЩИЙ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РЯД</w:t>
            </w:r>
          </w:p>
          <w:p w14:paraId="02DC64DE" w14:textId="430F6BFA" w:rsidR="008F12E3" w:rsidRPr="007F5AB8" w:rsidRDefault="008F12E3" w:rsidP="008F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действительных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голосов,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поданных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выборах</w:t>
            </w:r>
            <w:r w:rsidR="00D2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совета</w:t>
            </w:r>
          </w:p>
        </w:tc>
      </w:tr>
      <w:tr w:rsidR="00112263" w:rsidRPr="007F5AB8" w14:paraId="3579B221" w14:textId="77777777" w:rsidTr="00454727">
        <w:tc>
          <w:tcPr>
            <w:tcW w:w="565" w:type="dxa"/>
            <w:vAlign w:val="center"/>
          </w:tcPr>
          <w:p w14:paraId="14F2C507" w14:textId="77777777" w:rsidR="003741BA" w:rsidRPr="007F5AB8" w:rsidRDefault="003741BA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№</w:t>
            </w:r>
          </w:p>
          <w:p w14:paraId="5D50E65C" w14:textId="5E20A249" w:rsidR="00903A11" w:rsidRPr="007F5AB8" w:rsidRDefault="003741BA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п/п</w:t>
            </w:r>
          </w:p>
        </w:tc>
        <w:tc>
          <w:tcPr>
            <w:tcW w:w="995" w:type="dxa"/>
            <w:vAlign w:val="center"/>
          </w:tcPr>
          <w:p w14:paraId="03A2420D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В-1214</w:t>
            </w:r>
          </w:p>
        </w:tc>
        <w:tc>
          <w:tcPr>
            <w:tcW w:w="992" w:type="dxa"/>
            <w:vAlign w:val="center"/>
          </w:tcPr>
          <w:p w14:paraId="02CC8C0C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С-1005</w:t>
            </w:r>
          </w:p>
        </w:tc>
        <w:tc>
          <w:tcPr>
            <w:tcW w:w="992" w:type="dxa"/>
            <w:vAlign w:val="center"/>
          </w:tcPr>
          <w:p w14:paraId="7C2558FC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А-640</w:t>
            </w:r>
          </w:p>
        </w:tc>
        <w:tc>
          <w:tcPr>
            <w:tcW w:w="1559" w:type="dxa"/>
            <w:vAlign w:val="center"/>
          </w:tcPr>
          <w:p w14:paraId="3FD3B755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D-380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82D0521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E-172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22AA73E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F-169</w:t>
            </w:r>
          </w:p>
        </w:tc>
        <w:tc>
          <w:tcPr>
            <w:tcW w:w="1417" w:type="dxa"/>
            <w:vAlign w:val="center"/>
          </w:tcPr>
          <w:p w14:paraId="295ED0B6" w14:textId="77777777" w:rsidR="00903A11" w:rsidRPr="007F5AB8" w:rsidRDefault="009431B6" w:rsidP="0037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G-167</w:t>
            </w:r>
          </w:p>
        </w:tc>
      </w:tr>
      <w:tr w:rsidR="00112263" w:rsidRPr="007F5AB8" w14:paraId="327C314C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18B377E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1.</w:t>
            </w:r>
          </w:p>
        </w:tc>
        <w:tc>
          <w:tcPr>
            <w:tcW w:w="995" w:type="dxa"/>
            <w:vAlign w:val="center"/>
          </w:tcPr>
          <w:p w14:paraId="380C9411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1214</w:t>
            </w:r>
          </w:p>
        </w:tc>
        <w:tc>
          <w:tcPr>
            <w:tcW w:w="992" w:type="dxa"/>
            <w:vAlign w:val="center"/>
          </w:tcPr>
          <w:p w14:paraId="5599294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1005</w:t>
            </w:r>
          </w:p>
        </w:tc>
        <w:tc>
          <w:tcPr>
            <w:tcW w:w="992" w:type="dxa"/>
            <w:vAlign w:val="center"/>
          </w:tcPr>
          <w:p w14:paraId="6FD0EE6A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640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D575B1C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380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4F0BB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172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281AE2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169</w:t>
            </w:r>
          </w:p>
        </w:tc>
        <w:tc>
          <w:tcPr>
            <w:tcW w:w="1417" w:type="dxa"/>
            <w:vAlign w:val="center"/>
          </w:tcPr>
          <w:p w14:paraId="4402978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167</w:t>
            </w:r>
          </w:p>
        </w:tc>
      </w:tr>
      <w:tr w:rsidR="00112263" w:rsidRPr="007F5AB8" w14:paraId="7BDB5C5C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17C08E0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2.</w:t>
            </w:r>
          </w:p>
        </w:tc>
        <w:tc>
          <w:tcPr>
            <w:tcW w:w="995" w:type="dxa"/>
            <w:vAlign w:val="center"/>
          </w:tcPr>
          <w:p w14:paraId="6E6D522A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607</w:t>
            </w:r>
          </w:p>
        </w:tc>
        <w:tc>
          <w:tcPr>
            <w:tcW w:w="992" w:type="dxa"/>
            <w:vAlign w:val="center"/>
          </w:tcPr>
          <w:p w14:paraId="72F5F87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502,5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149B39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9B7B12E" w14:textId="7ECE8CCC" w:rsidR="00A75964" w:rsidRPr="007F5AB8" w:rsidRDefault="008F12E3" w:rsidP="00A7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Голоса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F3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за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независимых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кандидатов</w:t>
            </w:r>
          </w:p>
          <w:p w14:paraId="637B70E9" w14:textId="25407254" w:rsidR="00903A11" w:rsidRPr="007F5AB8" w:rsidRDefault="008F12E3" w:rsidP="00A7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не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подлежат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делению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17D5661E" w14:textId="5D659ECD" w:rsidR="00A75964" w:rsidRPr="007F5AB8" w:rsidRDefault="008F12E3" w:rsidP="00A7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Голоса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="00F3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за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независимых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кандидатов</w:t>
            </w:r>
          </w:p>
          <w:p w14:paraId="11A7784F" w14:textId="48CA7674" w:rsidR="00903A11" w:rsidRPr="007F5AB8" w:rsidRDefault="008F12E3" w:rsidP="00A7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не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подлежат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делению</w:t>
            </w:r>
          </w:p>
        </w:tc>
        <w:tc>
          <w:tcPr>
            <w:tcW w:w="1134" w:type="dxa"/>
            <w:vAlign w:val="center"/>
          </w:tcPr>
          <w:p w14:paraId="60BF241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84,5</w:t>
            </w:r>
          </w:p>
        </w:tc>
        <w:tc>
          <w:tcPr>
            <w:tcW w:w="1417" w:type="dxa"/>
            <w:vMerge w:val="restart"/>
          </w:tcPr>
          <w:p w14:paraId="5B7E0457" w14:textId="54D344D2" w:rsidR="008F12E3" w:rsidRPr="007F5AB8" w:rsidRDefault="008F12E3" w:rsidP="008F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Голоса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 xml:space="preserve"> </w:t>
            </w:r>
            <w:r w:rsidR="00F3563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за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независимых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кандидатов</w:t>
            </w:r>
          </w:p>
          <w:p w14:paraId="1FD9A6A9" w14:textId="3E34664D" w:rsidR="00903A11" w:rsidRPr="007F5AB8" w:rsidRDefault="008F12E3" w:rsidP="008F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не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подлежат</w:t>
            </w:r>
            <w:r w:rsidR="00D259D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 xml:space="preserve"> </w:t>
            </w: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ru-RU"/>
              </w:rPr>
              <w:t>делению</w:t>
            </w:r>
          </w:p>
        </w:tc>
      </w:tr>
      <w:tr w:rsidR="00112263" w:rsidRPr="007F5AB8" w14:paraId="6E6B66F3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297333C1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3.</w:t>
            </w:r>
          </w:p>
        </w:tc>
        <w:tc>
          <w:tcPr>
            <w:tcW w:w="995" w:type="dxa"/>
            <w:vAlign w:val="center"/>
          </w:tcPr>
          <w:p w14:paraId="4395302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404,67</w:t>
            </w:r>
          </w:p>
        </w:tc>
        <w:tc>
          <w:tcPr>
            <w:tcW w:w="992" w:type="dxa"/>
            <w:vAlign w:val="center"/>
          </w:tcPr>
          <w:p w14:paraId="4D662FF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335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4B466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213,33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18" w:space="0" w:color="auto"/>
            </w:tcBorders>
          </w:tcPr>
          <w:p w14:paraId="36DA0E81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666B403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B8B06D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56,33</w:t>
            </w:r>
          </w:p>
        </w:tc>
        <w:tc>
          <w:tcPr>
            <w:tcW w:w="1417" w:type="dxa"/>
            <w:vMerge/>
          </w:tcPr>
          <w:p w14:paraId="5F9190C3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201F07A9" w14:textId="77777777" w:rsidTr="00454727">
        <w:trPr>
          <w:trHeight w:val="283"/>
        </w:trPr>
        <w:tc>
          <w:tcPr>
            <w:tcW w:w="565" w:type="dxa"/>
          </w:tcPr>
          <w:p w14:paraId="2959578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4.</w:t>
            </w:r>
          </w:p>
        </w:tc>
        <w:tc>
          <w:tcPr>
            <w:tcW w:w="995" w:type="dxa"/>
            <w:vAlign w:val="center"/>
          </w:tcPr>
          <w:p w14:paraId="637F1155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303,5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CC8D46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251,25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8A3EAD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160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55934DF6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0F22AB6A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016BB3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42,25</w:t>
            </w:r>
          </w:p>
        </w:tc>
        <w:tc>
          <w:tcPr>
            <w:tcW w:w="1417" w:type="dxa"/>
            <w:vMerge/>
          </w:tcPr>
          <w:p w14:paraId="43188E7C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2A565004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175A55A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5.</w:t>
            </w:r>
          </w:p>
        </w:tc>
        <w:tc>
          <w:tcPr>
            <w:tcW w:w="995" w:type="dxa"/>
            <w:vAlign w:val="center"/>
          </w:tcPr>
          <w:p w14:paraId="7955480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242,8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BA438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1C1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128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4DBEBA91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29082205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80DEF6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33,8</w:t>
            </w:r>
          </w:p>
        </w:tc>
        <w:tc>
          <w:tcPr>
            <w:tcW w:w="1417" w:type="dxa"/>
            <w:vMerge/>
          </w:tcPr>
          <w:p w14:paraId="09A56D1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70D4A78C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4C48625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6.</w:t>
            </w:r>
          </w:p>
        </w:tc>
        <w:tc>
          <w:tcPr>
            <w:tcW w:w="995" w:type="dxa"/>
            <w:tcBorders>
              <w:right w:val="single" w:sz="18" w:space="0" w:color="auto"/>
            </w:tcBorders>
            <w:vAlign w:val="center"/>
          </w:tcPr>
          <w:p w14:paraId="0FF0DED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202,33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6A101D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9D18ADA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106,67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46C88192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151F969B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E1869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28,17</w:t>
            </w:r>
          </w:p>
        </w:tc>
        <w:tc>
          <w:tcPr>
            <w:tcW w:w="1417" w:type="dxa"/>
            <w:vMerge/>
          </w:tcPr>
          <w:p w14:paraId="21F5E165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79B10B24" w14:textId="77777777" w:rsidTr="00454727">
        <w:trPr>
          <w:trHeight w:val="283"/>
        </w:trPr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14:paraId="292C871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7.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485B0C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173,43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ED9AA55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143,57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6869F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91,43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53B57ED8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74D01010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D052FB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24,14</w:t>
            </w:r>
          </w:p>
        </w:tc>
        <w:tc>
          <w:tcPr>
            <w:tcW w:w="1417" w:type="dxa"/>
            <w:vMerge/>
          </w:tcPr>
          <w:p w14:paraId="7B04940F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2D6DB77B" w14:textId="77777777" w:rsidTr="00454727">
        <w:trPr>
          <w:trHeight w:val="283"/>
        </w:trPr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14:paraId="1805627C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8.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vAlign w:val="center"/>
          </w:tcPr>
          <w:p w14:paraId="219FF30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151,75</w:t>
            </w:r>
          </w:p>
        </w:tc>
        <w:tc>
          <w:tcPr>
            <w:tcW w:w="992" w:type="dxa"/>
            <w:vAlign w:val="center"/>
          </w:tcPr>
          <w:p w14:paraId="103A63E7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125,62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17560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80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394C44D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3DF93D47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DB0927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21,12</w:t>
            </w:r>
          </w:p>
        </w:tc>
        <w:tc>
          <w:tcPr>
            <w:tcW w:w="1417" w:type="dxa"/>
            <w:vMerge/>
          </w:tcPr>
          <w:p w14:paraId="19F02951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33156CA0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524C63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9.</w:t>
            </w:r>
          </w:p>
        </w:tc>
        <w:tc>
          <w:tcPr>
            <w:tcW w:w="995" w:type="dxa"/>
            <w:vAlign w:val="center"/>
          </w:tcPr>
          <w:p w14:paraId="4ED538B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134,89</w:t>
            </w:r>
          </w:p>
        </w:tc>
        <w:tc>
          <w:tcPr>
            <w:tcW w:w="992" w:type="dxa"/>
            <w:vAlign w:val="center"/>
          </w:tcPr>
          <w:p w14:paraId="64ECE32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111,67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D3048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71,11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30612262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1970C8C5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6D2E5C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18,78</w:t>
            </w:r>
          </w:p>
        </w:tc>
        <w:tc>
          <w:tcPr>
            <w:tcW w:w="1417" w:type="dxa"/>
            <w:vMerge/>
          </w:tcPr>
          <w:p w14:paraId="33C54C85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49CC5834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57F4F597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10.</w:t>
            </w:r>
          </w:p>
        </w:tc>
        <w:tc>
          <w:tcPr>
            <w:tcW w:w="995" w:type="dxa"/>
            <w:vAlign w:val="center"/>
          </w:tcPr>
          <w:p w14:paraId="6B7E75EC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121,4</w:t>
            </w:r>
          </w:p>
        </w:tc>
        <w:tc>
          <w:tcPr>
            <w:tcW w:w="992" w:type="dxa"/>
            <w:vAlign w:val="center"/>
          </w:tcPr>
          <w:p w14:paraId="6D7ED74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163C20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64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0E0D766A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35846B5E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417CB1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16,9</w:t>
            </w:r>
          </w:p>
        </w:tc>
        <w:tc>
          <w:tcPr>
            <w:tcW w:w="1417" w:type="dxa"/>
            <w:vMerge/>
          </w:tcPr>
          <w:p w14:paraId="0FD7184F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3C0DB64F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3F60A400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11.</w:t>
            </w:r>
          </w:p>
        </w:tc>
        <w:tc>
          <w:tcPr>
            <w:tcW w:w="995" w:type="dxa"/>
            <w:vAlign w:val="center"/>
          </w:tcPr>
          <w:p w14:paraId="7980570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110,36</w:t>
            </w:r>
          </w:p>
        </w:tc>
        <w:tc>
          <w:tcPr>
            <w:tcW w:w="992" w:type="dxa"/>
            <w:vAlign w:val="center"/>
          </w:tcPr>
          <w:p w14:paraId="4B98CA1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91,36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8DC71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58,18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3D1ADAE6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4A4C8FD5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636B5E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15,36</w:t>
            </w:r>
          </w:p>
        </w:tc>
        <w:tc>
          <w:tcPr>
            <w:tcW w:w="1417" w:type="dxa"/>
            <w:vMerge/>
          </w:tcPr>
          <w:p w14:paraId="2BECF207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00980F3E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7517BE47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12.</w:t>
            </w:r>
          </w:p>
        </w:tc>
        <w:tc>
          <w:tcPr>
            <w:tcW w:w="995" w:type="dxa"/>
            <w:vAlign w:val="center"/>
          </w:tcPr>
          <w:p w14:paraId="2AEB91D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101,17</w:t>
            </w:r>
          </w:p>
        </w:tc>
        <w:tc>
          <w:tcPr>
            <w:tcW w:w="992" w:type="dxa"/>
            <w:vAlign w:val="center"/>
          </w:tcPr>
          <w:p w14:paraId="2A47D707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83,75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10F82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53,33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230D4E2F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507D1C4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AB2499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14,08</w:t>
            </w:r>
          </w:p>
        </w:tc>
        <w:tc>
          <w:tcPr>
            <w:tcW w:w="1417" w:type="dxa"/>
            <w:vMerge/>
          </w:tcPr>
          <w:p w14:paraId="54BD6351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03C35CAA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48D77D1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13.</w:t>
            </w:r>
          </w:p>
        </w:tc>
        <w:tc>
          <w:tcPr>
            <w:tcW w:w="995" w:type="dxa"/>
            <w:vAlign w:val="center"/>
          </w:tcPr>
          <w:p w14:paraId="223A72E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93,38</w:t>
            </w:r>
          </w:p>
        </w:tc>
        <w:tc>
          <w:tcPr>
            <w:tcW w:w="992" w:type="dxa"/>
            <w:vAlign w:val="center"/>
          </w:tcPr>
          <w:p w14:paraId="3756F56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10BF4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49,23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0386678D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563F4983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4F416C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13</w:t>
            </w:r>
          </w:p>
        </w:tc>
        <w:tc>
          <w:tcPr>
            <w:tcW w:w="1417" w:type="dxa"/>
            <w:vMerge/>
          </w:tcPr>
          <w:p w14:paraId="3319E718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20A26FDC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78C68A2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14.</w:t>
            </w:r>
          </w:p>
        </w:tc>
        <w:tc>
          <w:tcPr>
            <w:tcW w:w="995" w:type="dxa"/>
            <w:vAlign w:val="center"/>
          </w:tcPr>
          <w:p w14:paraId="73AF9E7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86,71</w:t>
            </w:r>
          </w:p>
        </w:tc>
        <w:tc>
          <w:tcPr>
            <w:tcW w:w="992" w:type="dxa"/>
            <w:vAlign w:val="center"/>
          </w:tcPr>
          <w:p w14:paraId="335F050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71,78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5100F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45,71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419EBD47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01D0137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68707A2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12,07</w:t>
            </w:r>
          </w:p>
        </w:tc>
        <w:tc>
          <w:tcPr>
            <w:tcW w:w="1417" w:type="dxa"/>
            <w:vMerge/>
          </w:tcPr>
          <w:p w14:paraId="253C9810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08240607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12AA20CB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15.</w:t>
            </w:r>
          </w:p>
        </w:tc>
        <w:tc>
          <w:tcPr>
            <w:tcW w:w="995" w:type="dxa"/>
            <w:vAlign w:val="center"/>
          </w:tcPr>
          <w:p w14:paraId="23B8C55E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80,93</w:t>
            </w:r>
          </w:p>
        </w:tc>
        <w:tc>
          <w:tcPr>
            <w:tcW w:w="992" w:type="dxa"/>
            <w:vAlign w:val="center"/>
          </w:tcPr>
          <w:p w14:paraId="027874C7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24B0A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42,67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349A3058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1A3D6E7F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1C4BF6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11,27</w:t>
            </w:r>
          </w:p>
        </w:tc>
        <w:tc>
          <w:tcPr>
            <w:tcW w:w="1417" w:type="dxa"/>
            <w:vMerge/>
          </w:tcPr>
          <w:p w14:paraId="33EF8DE9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2C344E3C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90800F9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16.</w:t>
            </w:r>
          </w:p>
        </w:tc>
        <w:tc>
          <w:tcPr>
            <w:tcW w:w="995" w:type="dxa"/>
            <w:vAlign w:val="center"/>
          </w:tcPr>
          <w:p w14:paraId="731A46C4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75,88</w:t>
            </w:r>
          </w:p>
        </w:tc>
        <w:tc>
          <w:tcPr>
            <w:tcW w:w="992" w:type="dxa"/>
            <w:vAlign w:val="center"/>
          </w:tcPr>
          <w:p w14:paraId="5219C623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62,81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1D30D26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40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58AC3BE0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6281EEBE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DB0DE3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10,56</w:t>
            </w:r>
          </w:p>
        </w:tc>
        <w:tc>
          <w:tcPr>
            <w:tcW w:w="1417" w:type="dxa"/>
            <w:vMerge/>
          </w:tcPr>
          <w:p w14:paraId="7549D319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112263" w:rsidRPr="007F5AB8" w14:paraId="6D9A859E" w14:textId="77777777" w:rsidTr="00454727">
        <w:trPr>
          <w:trHeight w:val="283"/>
        </w:trPr>
        <w:tc>
          <w:tcPr>
            <w:tcW w:w="565" w:type="dxa"/>
            <w:vAlign w:val="center"/>
          </w:tcPr>
          <w:p w14:paraId="6DAA19DA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17.</w:t>
            </w:r>
          </w:p>
        </w:tc>
        <w:tc>
          <w:tcPr>
            <w:tcW w:w="995" w:type="dxa"/>
            <w:vAlign w:val="center"/>
          </w:tcPr>
          <w:p w14:paraId="31AEBA08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71,41</w:t>
            </w:r>
          </w:p>
        </w:tc>
        <w:tc>
          <w:tcPr>
            <w:tcW w:w="992" w:type="dxa"/>
            <w:vAlign w:val="center"/>
          </w:tcPr>
          <w:p w14:paraId="172385D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59,11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D381FF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37,65</w:t>
            </w:r>
          </w:p>
        </w:tc>
        <w:tc>
          <w:tcPr>
            <w:tcW w:w="1559" w:type="dxa"/>
            <w:vMerge/>
            <w:tcBorders>
              <w:top w:val="single" w:sz="12" w:space="0" w:color="1F4E79"/>
              <w:left w:val="single" w:sz="4" w:space="0" w:color="auto"/>
            </w:tcBorders>
          </w:tcPr>
          <w:p w14:paraId="752EE023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1F4E79"/>
            </w:tcBorders>
          </w:tcPr>
          <w:p w14:paraId="22598A04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0107320" w14:textId="77777777" w:rsidR="00903A11" w:rsidRPr="007F5AB8" w:rsidRDefault="009431B6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7F5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9,94</w:t>
            </w:r>
          </w:p>
        </w:tc>
        <w:tc>
          <w:tcPr>
            <w:tcW w:w="1417" w:type="dxa"/>
            <w:vMerge/>
          </w:tcPr>
          <w:p w14:paraId="721D6AE3" w14:textId="77777777" w:rsidR="00903A11" w:rsidRPr="007F5AB8" w:rsidRDefault="00903A11" w:rsidP="00C9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</w:tbl>
    <w:p w14:paraId="5C04E1AD" w14:textId="77777777" w:rsidR="00903A11" w:rsidRPr="007F5AB8" w:rsidRDefault="00903A11" w:rsidP="00C92BC8">
      <w:pPr>
        <w:spacing w:after="0" w:line="276" w:lineRule="auto"/>
        <w:rPr>
          <w:rFonts w:ascii="Times New Roman" w:hAnsi="Times New Roman" w:cs="Times New Roman"/>
          <w:color w:val="000000" w:themeColor="text1"/>
          <w:sz w:val="10"/>
          <w:szCs w:val="24"/>
          <w:highlight w:val="white"/>
          <w:lang w:val="ru-RU"/>
        </w:rPr>
      </w:pPr>
    </w:p>
    <w:p w14:paraId="1300487F" w14:textId="54CDD835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18.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бюллетень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голосования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включены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только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независимые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кандидаты,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окружной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составляет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указанием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количества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распределяет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каждому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одному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мандату,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будет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исчерпано.</w:t>
      </w:r>
    </w:p>
    <w:p w14:paraId="0CE9DD79" w14:textId="6B677B71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19.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последний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нераспределенный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имеется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несколько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претендентов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одинаковым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количеством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окружной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распределяет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путем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жеребьевки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жеребьевке.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Результаты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жеребьевки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вносятся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протокол,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который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прилагается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постановлению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признании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действительными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советников.</w:t>
      </w:r>
    </w:p>
    <w:p w14:paraId="02E21A51" w14:textId="1E9AC5AF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20.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протоколе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окружного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подведении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итогов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голосования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указываются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наименование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конкурентов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внесения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бюллетень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голосования,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количество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независимых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фамилия,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пометка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«независимый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кандидат».</w:t>
      </w:r>
    </w:p>
    <w:p w14:paraId="3718411C" w14:textId="7733B387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21.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политическая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партия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блок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получают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большее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число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число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внесенных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оставшиеся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числа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исключаются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заменяются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числами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убывания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других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конкурентов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выборах.</w:t>
      </w:r>
    </w:p>
    <w:p w14:paraId="3886A50B" w14:textId="5FAE1EE4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22.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блока,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получившие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объявляются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резервными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кандидатами.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блока,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набравшие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избирателей,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получившие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также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объявляются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резервными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кандидатами.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Независимый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набравший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избирателей,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получивший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объявляется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резервным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кандидатом.</w:t>
      </w:r>
    </w:p>
    <w:p w14:paraId="2076679F" w14:textId="77DEA544" w:rsidR="004D183F" w:rsidRPr="004A46E7" w:rsidRDefault="004D183F" w:rsidP="004D1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23.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списку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политической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блока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либо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независимые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кандидаты,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набравшие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одного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голоса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избирателей,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объявляются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резервными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кандидатами.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этом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делается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упоминание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постановлении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признании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действительными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советников.</w:t>
      </w:r>
    </w:p>
    <w:p w14:paraId="487D8FE7" w14:textId="77777777" w:rsidR="008108F7" w:rsidRPr="004A46E7" w:rsidRDefault="008108F7" w:rsidP="00C92BC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B2DF928" w14:textId="7E639AF3" w:rsidR="00B7545D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7545D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III</w:t>
      </w:r>
      <w:r w:rsidR="003B022B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Досрочное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прекращение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B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полномочий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примара</w:t>
      </w:r>
    </w:p>
    <w:p w14:paraId="1D29976A" w14:textId="77777777" w:rsidR="00454727" w:rsidRPr="007F5AB8" w:rsidRDefault="00454727" w:rsidP="00812F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0AB260F" w14:textId="6AE4B1BF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24.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Полномочия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примара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прекращаются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досрочно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случае:</w:t>
      </w:r>
    </w:p>
    <w:p w14:paraId="00DFE86B" w14:textId="58B947C4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a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несовместимости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должностей,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неподкупности;</w:t>
      </w:r>
    </w:p>
    <w:p w14:paraId="28E3F19E" w14:textId="31879572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b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издания/принятия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административного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совершения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непосредственно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через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третье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сделки,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участия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определенного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фактическом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конфликте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разрешенном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положениями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законодательства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урегулировании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конфликта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интересов;</w:t>
      </w:r>
    </w:p>
    <w:p w14:paraId="4BB8FC56" w14:textId="3C793547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c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декларации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имуществе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личных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отказа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согласно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(8)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27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№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132/2016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неподкупности;</w:t>
      </w:r>
    </w:p>
    <w:p w14:paraId="12B54E97" w14:textId="172F51D3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d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наличия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существенного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расхождения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между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полученными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доходами,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осуществленными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расходами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приобретенным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имуществом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подлежащего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контролю;</w:t>
      </w:r>
    </w:p>
    <w:p w14:paraId="5094C2D5" w14:textId="508C4FAC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lastRenderedPageBreak/>
        <w:t>e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невозможности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исполнения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своих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обязанностей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протяжении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более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пяти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месяцев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подряд,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числе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из-за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болезни,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что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устанавливается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территориальным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бюро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Государственной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канцелярии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письменно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извещается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15-дневный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констатирования;</w:t>
      </w:r>
    </w:p>
    <w:p w14:paraId="76034642" w14:textId="723359FE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наличия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вынесенного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обвинительного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приговора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свободы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вступившего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силу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запрете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занимать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должность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примара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более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пяти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месяцев;</w:t>
      </w:r>
    </w:p>
    <w:p w14:paraId="76AB4CDB" w14:textId="782828A7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g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отзыва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через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референдум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кодексом;</w:t>
      </w:r>
    </w:p>
    <w:p w14:paraId="24B06991" w14:textId="105B2685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h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отставку;</w:t>
      </w:r>
    </w:p>
    <w:p w14:paraId="1ECEAAD5" w14:textId="49627DBD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i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смерти.</w:t>
      </w:r>
    </w:p>
    <w:p w14:paraId="797C67F8" w14:textId="1EE84B7E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25.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назначает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кодексом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дату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новых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выборов:</w:t>
      </w:r>
    </w:p>
    <w:p w14:paraId="34AD96F2" w14:textId="60985C53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a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a</w:t>
      </w:r>
      <w:r w:rsidRPr="004A46E7">
        <w:rPr>
          <w:color w:val="000000" w:themeColor="text1"/>
          <w:lang w:val="ru-RU"/>
        </w:rPr>
        <w:t>)–</w:t>
      </w:r>
      <w:r w:rsidRPr="004A46E7">
        <w:rPr>
          <w:color w:val="000000" w:themeColor="text1"/>
        </w:rPr>
        <w:t>d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24,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неподкупности;</w:t>
      </w:r>
    </w:p>
    <w:p w14:paraId="02849384" w14:textId="72B2E2B5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b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24,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судебной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инстанции;</w:t>
      </w:r>
    </w:p>
    <w:p w14:paraId="331BDB03" w14:textId="61A450AF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c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24,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территориального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бюро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Государственной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канцелярии;​​</w:t>
      </w:r>
    </w:p>
    <w:p w14:paraId="4EADD470" w14:textId="5D721F19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d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h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i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24,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секретаря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совета.</w:t>
      </w:r>
    </w:p>
    <w:p w14:paraId="7DBBAF11" w14:textId="4F6CFBB0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26.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Органы,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перечисленные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25,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обращаются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15-дневный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дня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возникновения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констатирования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соответствующих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обстоятельств.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5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приведен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образец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секретаря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подаваемого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комиссию.</w:t>
      </w:r>
    </w:p>
    <w:p w14:paraId="24380BF9" w14:textId="7330B238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27.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информирования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оспаривании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административного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который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служит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основанием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досрочного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прекращения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полномочий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примара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а)-</w:t>
      </w: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24,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новых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назначается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комиссией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исчерпания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обычных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путей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обжалования.</w:t>
      </w:r>
    </w:p>
    <w:p w14:paraId="751DB09C" w14:textId="77777777" w:rsidR="00903A11" w:rsidRPr="007F5AB8" w:rsidRDefault="00903A11" w:rsidP="00C92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0A6EEF5F" w14:textId="630AEDEE" w:rsidR="00B7545D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7545D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IV</w:t>
      </w:r>
      <w:r w:rsidR="00511219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Досрочное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прекращение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B2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полномочий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советника</w:t>
      </w:r>
    </w:p>
    <w:p w14:paraId="4829919D" w14:textId="77777777" w:rsidR="00454727" w:rsidRPr="004A46E7" w:rsidRDefault="00454727" w:rsidP="008E32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694DA79" w14:textId="3A9F7C76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28.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Полномочия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прекращаются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досрочно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случае:</w:t>
      </w:r>
    </w:p>
    <w:p w14:paraId="378E131F" w14:textId="3C217FA9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a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отсутствия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без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уважительных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причин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трех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заседаниях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подряд;</w:t>
      </w:r>
    </w:p>
    <w:p w14:paraId="60806AD2" w14:textId="41A75978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b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несовместимости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должностей,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неподкупности;</w:t>
      </w:r>
    </w:p>
    <w:p w14:paraId="398EDCF8" w14:textId="7EC2744A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c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издания/принятия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административного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совершения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непосредственно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через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третье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сделки,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участия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определенного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фактическом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конфликте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разрешенном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положениями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законодательства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урегулировании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конфликта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интересов;</w:t>
      </w:r>
    </w:p>
    <w:p w14:paraId="38BFF867" w14:textId="34D71E7C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d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декларации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имуществе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личных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интересах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отказа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согласно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ч.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(8)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27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№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132/2016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неподкупности;</w:t>
      </w:r>
    </w:p>
    <w:p w14:paraId="37A946E2" w14:textId="2EE4E23F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e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ставшим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констатирующим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наличия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существенного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расхождения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между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полученными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доходами,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осуществленными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расходами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приобретенным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имуществом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подлежащего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контролю;</w:t>
      </w:r>
    </w:p>
    <w:p w14:paraId="7411202B" w14:textId="105FB6DD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наличия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вынесенного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обвинительного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приговора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свободы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окончательно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вступившего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силу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запрете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занимать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должность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более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пяти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месяцев;</w:t>
      </w:r>
    </w:p>
    <w:p w14:paraId="500C0A2E" w14:textId="7CA6C515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lastRenderedPageBreak/>
        <w:t>g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роспуска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праву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согласно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436/2006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публичном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управлении;</w:t>
      </w:r>
    </w:p>
    <w:p w14:paraId="78EF6A96" w14:textId="2EE81ECB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h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подачи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отставку;</w:t>
      </w:r>
    </w:p>
    <w:p w14:paraId="13D90191" w14:textId="7945B043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</w:rPr>
        <w:t>i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смерти.</w:t>
      </w:r>
    </w:p>
    <w:p w14:paraId="071DE1EF" w14:textId="59DBD683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29.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a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принимается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соответствующим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советом,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b</w:t>
      </w:r>
      <w:r w:rsidRPr="004A46E7">
        <w:rPr>
          <w:color w:val="000000" w:themeColor="text1"/>
          <w:lang w:val="ru-RU"/>
        </w:rPr>
        <w:t>)–</w:t>
      </w:r>
      <w:r w:rsidRPr="004A46E7">
        <w:rPr>
          <w:color w:val="000000" w:themeColor="text1"/>
        </w:rPr>
        <w:t>e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h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комиссией.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i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объявляет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вакантным.</w:t>
      </w:r>
    </w:p>
    <w:p w14:paraId="20714187" w14:textId="18E4D4A7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30.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b</w:t>
      </w:r>
      <w:r w:rsidRPr="004A46E7">
        <w:rPr>
          <w:color w:val="000000" w:themeColor="text1"/>
          <w:lang w:val="ru-RU"/>
        </w:rPr>
        <w:t>)–е)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инициирует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процедуру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неподкупности.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основании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имеющихся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документов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принимает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течение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30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дней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дня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обращения.</w:t>
      </w:r>
    </w:p>
    <w:p w14:paraId="33EB9842" w14:textId="74CD75FA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31.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выборное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лицо,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находящееся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одном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несовместимости,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7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Закона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768/2000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статусе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выборного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лица,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обязано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30-дневный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дня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возникновения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такого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подать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отставке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должности,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несовместимой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мандатом,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либо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сложить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мандат.</w:t>
      </w:r>
    </w:p>
    <w:p w14:paraId="703CE900" w14:textId="5B550A35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32.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также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g</w:t>
      </w:r>
      <w:r w:rsidRPr="004A46E7">
        <w:rPr>
          <w:color w:val="000000" w:themeColor="text1"/>
          <w:lang w:val="ru-RU"/>
        </w:rPr>
        <w:t>)–</w:t>
      </w:r>
      <w:r w:rsidRPr="004A46E7">
        <w:rPr>
          <w:color w:val="000000" w:themeColor="text1"/>
        </w:rPr>
        <w:t>i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секретарь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обстоятельствам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председатель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района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информирует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этом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Центральную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избирательную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течение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15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дней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возникновения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соответствующих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обстоятельств.</w:t>
      </w:r>
    </w:p>
    <w:p w14:paraId="6BC39AB6" w14:textId="2C8D0141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33.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считается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вакантным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момента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доведения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сведения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соответствующего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положениями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29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указанной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тексте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даты,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которая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может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предшествовать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дате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внесения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Государственный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регистр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актов.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невозможности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сообщения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считается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вакантным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момента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принятия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решения.</w:t>
      </w:r>
    </w:p>
    <w:p w14:paraId="4A131FBE" w14:textId="77DFE53D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34.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Решение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может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быть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обжаловано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без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соблюдения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предварительной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процедуры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судебной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инстанции,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компетентной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рассматривать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административные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споры.</w:t>
      </w:r>
    </w:p>
    <w:p w14:paraId="5AB59DF4" w14:textId="6EBEF7F4" w:rsidR="004A46E7" w:rsidRPr="004A46E7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4A46E7">
        <w:rPr>
          <w:color w:val="000000" w:themeColor="text1"/>
          <w:lang w:val="ru-RU"/>
        </w:rPr>
        <w:t>35.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</w:rPr>
        <w:t>f</w:t>
      </w:r>
      <w:r w:rsidRPr="004A46E7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лишается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того,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как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были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исчерпаны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обычные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пути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обжалования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обвинительного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приговора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истечения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срока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обжалования.</w:t>
      </w:r>
      <w:r w:rsidR="00D259D3" w:rsidRP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Бюро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пробации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доводит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до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сведения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советов,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территориальных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пределах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которого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находятся,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случаях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осуждения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местных</w:t>
      </w:r>
      <w:r w:rsidR="00D259D3">
        <w:rPr>
          <w:color w:val="000000" w:themeColor="text1"/>
          <w:lang w:val="ru-RU"/>
        </w:rPr>
        <w:t xml:space="preserve"> </w:t>
      </w:r>
      <w:r w:rsidRPr="004A46E7">
        <w:rPr>
          <w:color w:val="000000" w:themeColor="text1"/>
          <w:lang w:val="ru-RU"/>
        </w:rPr>
        <w:t>советников.</w:t>
      </w:r>
    </w:p>
    <w:p w14:paraId="149445D7" w14:textId="77777777" w:rsidR="00853EDE" w:rsidRPr="007F5AB8" w:rsidRDefault="00853EDE" w:rsidP="00C92BC8">
      <w:pPr>
        <w:tabs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0E0BAC8C" w14:textId="49791B5A" w:rsidR="00B7545D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7545D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V</w:t>
      </w:r>
      <w:r w:rsidR="00511219" w:rsidRPr="007F5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Распределение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мандата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советника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резервному</w:t>
      </w:r>
      <w:r w:rsidR="00D25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75964" w:rsidRPr="007F5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кандидату</w:t>
      </w:r>
    </w:p>
    <w:p w14:paraId="70E73F9D" w14:textId="77777777" w:rsidR="00B7545D" w:rsidRPr="007F5AB8" w:rsidRDefault="00B7545D" w:rsidP="008E32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FDDC17F" w14:textId="79C82255" w:rsidR="00903A11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B7545D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1</w:t>
      </w:r>
      <w:r w:rsidR="00511219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Общие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положения</w:t>
      </w:r>
    </w:p>
    <w:p w14:paraId="3954F8AF" w14:textId="77777777" w:rsidR="009431B6" w:rsidRPr="00CA01CB" w:rsidRDefault="009431B6" w:rsidP="008E32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9629BD1" w14:textId="2B3FBFF4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36.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Центральной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комиссией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ст.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172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кодекса,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настоящего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Положения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имеющихся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документов.</w:t>
      </w:r>
    </w:p>
    <w:p w14:paraId="3700863B" w14:textId="547474BA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37.</w:t>
      </w:r>
      <w:r w:rsidR="00D259D3" w:rsidRP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досрочного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прекращения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принадлежащего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политической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блоку,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данный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одному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списку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политической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блока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внесения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список.</w:t>
      </w:r>
    </w:p>
    <w:p w14:paraId="2A2A4F17" w14:textId="1DA5C3EF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38.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отказывается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этом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лично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lastRenderedPageBreak/>
        <w:t>местоположению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Центральной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11).</w:t>
      </w:r>
    </w:p>
    <w:p w14:paraId="3428EE09" w14:textId="5BA600A2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39.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список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политической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блока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исчерпан,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замещение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путем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возобновления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чисел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исключением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принадлежащего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соответствующему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конкуренту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выборах,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заменой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конкурента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выборах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порядке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убывания.</w:t>
      </w:r>
    </w:p>
    <w:p w14:paraId="2140B074" w14:textId="6946A216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40.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вследствие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восстановления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наибольшее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численное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значение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приходится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список,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этому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списку,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полагается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распределить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отказывается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него,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может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быть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установлен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территории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населенного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пункта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умер,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переходит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соответствующему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списку.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Повторное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возобновление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только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исчерпания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блока.</w:t>
      </w:r>
    </w:p>
    <w:p w14:paraId="49BE1C2B" w14:textId="30120054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41.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образования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двух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советников,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принадлежащих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партии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блоку,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список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исчерпался,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восстановление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дважды,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соответственно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списку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наибольшим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численным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значением.</w:t>
      </w:r>
    </w:p>
    <w:p w14:paraId="1D4B8925" w14:textId="0200C840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42.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образования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принадлежавшего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независимому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замещение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путем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восстановления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чисел,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исключением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принадлежащего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соответствующему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заменой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следующим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порядку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числом.</w:t>
      </w:r>
    </w:p>
    <w:p w14:paraId="75D91D04" w14:textId="72CC6E26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43.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вследствие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восстановления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убывающего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ряда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несколько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претендентов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имеют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равные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численные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значения,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применяется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процедура,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предусмотренная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положением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жеребьевке,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определения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полагается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распределить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вакантный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Результаты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жеребьевки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заносятся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протокол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заседания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Центральной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избирательной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комиссии.</w:t>
      </w:r>
    </w:p>
    <w:p w14:paraId="253B14B9" w14:textId="6DE7AFA8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44.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невозможности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территории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соответствующего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населенного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пункта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полагается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распределить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вакантный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орган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публичного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управления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выдает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этом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справку,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подписанную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примаром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населенного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пункта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совета.</w:t>
      </w:r>
    </w:p>
    <w:p w14:paraId="6696B0D5" w14:textId="70F6E41C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45.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Лишение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объявление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вакантным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осуществляется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документов,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зависимости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обстоятельств:</w:t>
      </w:r>
    </w:p>
    <w:p w14:paraId="3E0ABAFD" w14:textId="6EB5A82F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a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обращение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Национального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неподкупности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констатации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досрочного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прекращения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полномочий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b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–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e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прилагается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ставший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окончательным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констатирующий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акт;</w:t>
      </w:r>
    </w:p>
    <w:p w14:paraId="3CB44D0F" w14:textId="2042D19B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b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отставке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6);</w:t>
      </w:r>
    </w:p>
    <w:p w14:paraId="6BFD076C" w14:textId="3FF678F3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c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копия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свидетельства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смерти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подлинность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совета;</w:t>
      </w:r>
    </w:p>
    <w:p w14:paraId="6512A54E" w14:textId="3E720DB7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d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решение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сельского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(коммунального),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городского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(муниципального),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районного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образцам,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приложениях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7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8),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представляемое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оригинале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копии,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подлинность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совета.</w:t>
      </w:r>
    </w:p>
    <w:p w14:paraId="175C90E8" w14:textId="29115BC3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46.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распределяет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документов,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зависимости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обстоятельств:</w:t>
      </w:r>
    </w:p>
    <w:p w14:paraId="552FD984" w14:textId="00405507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a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согласии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9);</w:t>
      </w:r>
    </w:p>
    <w:p w14:paraId="27B87080" w14:textId="237AED85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b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выданная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примэрией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справка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невозможности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территории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населенного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пункта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полагается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распределить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10);</w:t>
      </w:r>
    </w:p>
    <w:p w14:paraId="69C0A647" w14:textId="54D80F86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t>c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отказе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11).</w:t>
      </w:r>
    </w:p>
    <w:p w14:paraId="1EB7F272" w14:textId="09CD0089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</w:rPr>
        <w:lastRenderedPageBreak/>
        <w:t>d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копия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свидетельства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смерти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подлинность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совета.</w:t>
      </w:r>
    </w:p>
    <w:p w14:paraId="11DCD489" w14:textId="6AE8E07E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47.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отставке,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также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отказе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согласии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могут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быть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отозваны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заседания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рассматривается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проект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постановления.</w:t>
      </w:r>
    </w:p>
    <w:p w14:paraId="5FD24C6E" w14:textId="0B9F59B8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48.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Заявление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отставке,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подаваемое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местоположению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публичного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управления,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также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c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d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45,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направляются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течение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15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дней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зависимости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обстоятельств,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председателем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района.</w:t>
      </w:r>
    </w:p>
    <w:p w14:paraId="21CB0ECD" w14:textId="734C1BE3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49.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a</w:t>
      </w:r>
      <w:r w:rsidRPr="00CA01CB">
        <w:rPr>
          <w:color w:val="000000" w:themeColor="text1"/>
          <w:lang w:val="ru-RU"/>
        </w:rPr>
        <w:t>)-</w:t>
      </w:r>
      <w:r w:rsidRPr="00CA01CB">
        <w:rPr>
          <w:color w:val="000000" w:themeColor="text1"/>
        </w:rPr>
        <w:t>d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46,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представляемые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местоположению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органа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публичного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управления,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также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48,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направляются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сопроводительным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письмом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более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15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дней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дня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поступления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(по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образцам,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приложениях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12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№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13).</w:t>
      </w:r>
    </w:p>
    <w:p w14:paraId="06038519" w14:textId="40275352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50.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представленный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комплект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несоответствующий/неполон,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он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возвращается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органу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публичного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управления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приведения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соответствие/дополнения.</w:t>
      </w:r>
    </w:p>
    <w:p w14:paraId="5015D384" w14:textId="3D25BAD0" w:rsidR="004A46E7" w:rsidRPr="00CA01CB" w:rsidRDefault="004A46E7" w:rsidP="004A46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51.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информирования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оспаривании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административного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акта,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служит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досрочного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прекращения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полномочий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случаях,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а)-</w:t>
      </w:r>
      <w:r w:rsidRPr="00CA01CB">
        <w:rPr>
          <w:color w:val="000000" w:themeColor="text1"/>
        </w:rPr>
        <w:t>f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28,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вопрос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следующему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рассматривается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после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исчерпания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обычных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путей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обжалования.</w:t>
      </w:r>
    </w:p>
    <w:p w14:paraId="22AF13AB" w14:textId="77777777" w:rsidR="00903A11" w:rsidRPr="00CA01CB" w:rsidRDefault="00903A11" w:rsidP="00C92BC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1142839" w14:textId="799F8D9A" w:rsidR="00617E0C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9431B6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2</w:t>
      </w:r>
      <w:r w:rsidR="003B022B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Подача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документов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в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Центральную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избирательную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комиссию</w:t>
      </w:r>
    </w:p>
    <w:p w14:paraId="55CFC3DC" w14:textId="0FF7B2CA" w:rsidR="00903A11" w:rsidRPr="007F5AB8" w:rsidRDefault="00617E0C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для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лишения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распределения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мандата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советника</w:t>
      </w:r>
    </w:p>
    <w:p w14:paraId="1E99B3A1" w14:textId="77777777" w:rsidR="009431B6" w:rsidRPr="00CA01CB" w:rsidRDefault="009431B6" w:rsidP="008E32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</w:p>
    <w:p w14:paraId="1B43055F" w14:textId="540D1437" w:rsidR="00CA01CB" w:rsidRPr="00CA01CB" w:rsidRDefault="00CA01CB" w:rsidP="00CA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52.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b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45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46,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почте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вместе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сопроводительным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письмом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местоположению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лично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подающим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лицом.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они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посредством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электронной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почте,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они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подписываются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электронной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подписью.</w:t>
      </w:r>
    </w:p>
    <w:p w14:paraId="7531CE06" w14:textId="188927BD" w:rsidR="00CA01CB" w:rsidRPr="00CA01CB" w:rsidRDefault="00CA01CB" w:rsidP="00CA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53.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Если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указанные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52,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посредством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подтверждает,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что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были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представлены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лично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подавшим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лицом,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заполнив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подписав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этом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собственноручно/электронной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подписью,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отправляет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комиссию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течение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15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дней.</w:t>
      </w:r>
    </w:p>
    <w:p w14:paraId="12B9A515" w14:textId="0268DA5B" w:rsidR="00CA01CB" w:rsidRPr="00CA01CB" w:rsidRDefault="00CA01CB" w:rsidP="00CA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54.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отсутствия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представление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документов,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</w:rPr>
        <w:t>b</w:t>
      </w:r>
      <w:r w:rsidRPr="00CA01CB">
        <w:rPr>
          <w:color w:val="000000" w:themeColor="text1"/>
          <w:lang w:val="ru-RU"/>
        </w:rPr>
        <w:t>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45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с)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46,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лично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подающим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лицом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подтверждается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примаром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населенного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пункта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председателем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района,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сам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факт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отсутствия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указывается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сопроводительном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письме.</w:t>
      </w:r>
    </w:p>
    <w:p w14:paraId="38493394" w14:textId="77777777" w:rsidR="009431B6" w:rsidRPr="00CA01CB" w:rsidRDefault="009431B6" w:rsidP="008E32A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AEC38B0" w14:textId="1E31CE1C" w:rsidR="00617E0C" w:rsidRPr="007F5AB8" w:rsidRDefault="00812F7E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Раздел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9431B6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3</w:t>
      </w:r>
      <w:r w:rsidR="00511219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.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Принятие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постановления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Центральной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избирательной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17E0C"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комиссии</w:t>
      </w:r>
    </w:p>
    <w:p w14:paraId="4828CFDF" w14:textId="6A63779A" w:rsidR="00617E0C" w:rsidRPr="007F5AB8" w:rsidRDefault="00617E0C" w:rsidP="00C92B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лишении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и/или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распределении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мандата</w:t>
      </w:r>
      <w:r w:rsidR="00D259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F5A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советника</w:t>
      </w:r>
    </w:p>
    <w:p w14:paraId="0CCFA5D0" w14:textId="77777777" w:rsidR="00903A11" w:rsidRPr="007F5AB8" w:rsidRDefault="00903A11" w:rsidP="00C92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</w:p>
    <w:p w14:paraId="3FD048BF" w14:textId="4BF9E7C7" w:rsidR="00CA01CB" w:rsidRPr="00CA01CB" w:rsidRDefault="00CA01CB" w:rsidP="00CA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CA01CB">
        <w:rPr>
          <w:color w:val="000000" w:themeColor="text1"/>
          <w:lang w:val="ru-RU"/>
        </w:rPr>
        <w:t>55.</w:t>
      </w:r>
      <w:r w:rsidR="00D259D3" w:rsidRP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случае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образования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вакансии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принимает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постановление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резервному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кандидату,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которое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служит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основанием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для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начала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исполнения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составе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Секретарь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доводит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сведения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соответствующего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постановление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позднее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уведомления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созыве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заседания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местного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совета.</w:t>
      </w:r>
    </w:p>
    <w:p w14:paraId="3355170D" w14:textId="49A48577" w:rsidR="00903A11" w:rsidRPr="00CA01CB" w:rsidRDefault="00CA01CB" w:rsidP="00CA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lang w:val="ru-RU"/>
        </w:rPr>
      </w:pPr>
      <w:r w:rsidRPr="00CA01CB">
        <w:rPr>
          <w:color w:val="000000" w:themeColor="text1"/>
          <w:lang w:val="ru-RU"/>
        </w:rPr>
        <w:t>56.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Постановления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комиссии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лишении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распределении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мандатов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советников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являются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административными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актами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индивидуального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характера,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вступают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силу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со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дня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принятия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или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предусмотренный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их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тексте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срок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и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размещаются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на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официальной</w:t>
      </w:r>
      <w:r w:rsidR="00D259D3">
        <w:rPr>
          <w:color w:val="000000" w:themeColor="text1"/>
          <w:lang w:val="ru-RU"/>
        </w:rPr>
        <w:t xml:space="preserve"> </w:t>
      </w:r>
      <w:r w:rsidRPr="00CA01CB">
        <w:rPr>
          <w:color w:val="000000" w:themeColor="text1"/>
          <w:lang w:val="ru-RU"/>
        </w:rPr>
        <w:t>веб-странице</w:t>
      </w:r>
      <w:r w:rsidR="00D259D3">
        <w:rPr>
          <w:color w:val="000000" w:themeColor="text1"/>
          <w:lang w:val="ru-RU"/>
        </w:rPr>
        <w:t xml:space="preserve"> </w:t>
      </w:r>
      <w:hyperlink r:id="rId9">
        <w:r w:rsidR="009431B6" w:rsidRPr="007F5AB8">
          <w:rPr>
            <w:color w:val="000000" w:themeColor="text1"/>
            <w:u w:val="single"/>
            <w:lang w:val="ru-RU"/>
          </w:rPr>
          <w:t>www.cec.md</w:t>
        </w:r>
      </w:hyperlink>
      <w:r w:rsidR="009431B6" w:rsidRPr="007F5AB8">
        <w:rPr>
          <w:color w:val="000000" w:themeColor="text1"/>
          <w:lang w:val="ru-RU"/>
        </w:rPr>
        <w:t>.</w:t>
      </w:r>
    </w:p>
    <w:sectPr w:rsidR="00903A11" w:rsidRPr="00CA01CB" w:rsidSect="00C92BC8">
      <w:pgSz w:w="11906" w:h="16838"/>
      <w:pgMar w:top="1134" w:right="851" w:bottom="1134" w:left="1985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DD35" w14:textId="77777777" w:rsidR="00D259D3" w:rsidRDefault="00D259D3">
      <w:pPr>
        <w:spacing w:after="0" w:line="240" w:lineRule="auto"/>
      </w:pPr>
      <w:r>
        <w:separator/>
      </w:r>
    </w:p>
  </w:endnote>
  <w:endnote w:type="continuationSeparator" w:id="0">
    <w:p w14:paraId="30D9D6BE" w14:textId="77777777" w:rsidR="00D259D3" w:rsidRDefault="00D2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61E1" w14:textId="77777777" w:rsidR="00D259D3" w:rsidRDefault="00D259D3">
      <w:pPr>
        <w:spacing w:after="0" w:line="240" w:lineRule="auto"/>
      </w:pPr>
      <w:r>
        <w:separator/>
      </w:r>
    </w:p>
  </w:footnote>
  <w:footnote w:type="continuationSeparator" w:id="0">
    <w:p w14:paraId="6F612355" w14:textId="77777777" w:rsidR="00D259D3" w:rsidRDefault="00D2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587"/>
    <w:multiLevelType w:val="multilevel"/>
    <w:tmpl w:val="D17C29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C80D78"/>
    <w:multiLevelType w:val="multilevel"/>
    <w:tmpl w:val="D690028A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2" w15:restartNumberingAfterBreak="0">
    <w:nsid w:val="50BC7E7B"/>
    <w:multiLevelType w:val="multilevel"/>
    <w:tmpl w:val="F2729D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15E43"/>
    <w:multiLevelType w:val="multilevel"/>
    <w:tmpl w:val="03A40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614"/>
    <w:multiLevelType w:val="multilevel"/>
    <w:tmpl w:val="1F22D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763C"/>
    <w:multiLevelType w:val="multilevel"/>
    <w:tmpl w:val="39D27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77C"/>
    <w:multiLevelType w:val="multilevel"/>
    <w:tmpl w:val="943C5E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9C50177"/>
    <w:multiLevelType w:val="hybridMultilevel"/>
    <w:tmpl w:val="D78A6A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1E65"/>
    <w:multiLevelType w:val="multilevel"/>
    <w:tmpl w:val="6F28EC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FE7DAE"/>
    <w:multiLevelType w:val="multilevel"/>
    <w:tmpl w:val="952C5238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5134"/>
    <w:multiLevelType w:val="multilevel"/>
    <w:tmpl w:val="20C6C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01D9C"/>
    <w:rsid w:val="00016B1A"/>
    <w:rsid w:val="0003417B"/>
    <w:rsid w:val="00040119"/>
    <w:rsid w:val="00056C2A"/>
    <w:rsid w:val="00063E65"/>
    <w:rsid w:val="000747FA"/>
    <w:rsid w:val="00093FAB"/>
    <w:rsid w:val="000A4A8B"/>
    <w:rsid w:val="000B684A"/>
    <w:rsid w:val="000C1F12"/>
    <w:rsid w:val="000E183F"/>
    <w:rsid w:val="000F1204"/>
    <w:rsid w:val="00112263"/>
    <w:rsid w:val="00123515"/>
    <w:rsid w:val="00134990"/>
    <w:rsid w:val="00156AC2"/>
    <w:rsid w:val="001629FF"/>
    <w:rsid w:val="00187328"/>
    <w:rsid w:val="001A28B1"/>
    <w:rsid w:val="001A4503"/>
    <w:rsid w:val="001B71F0"/>
    <w:rsid w:val="001C2E8F"/>
    <w:rsid w:val="001D434B"/>
    <w:rsid w:val="001F3825"/>
    <w:rsid w:val="002064AA"/>
    <w:rsid w:val="002117B0"/>
    <w:rsid w:val="002441FF"/>
    <w:rsid w:val="00252C2F"/>
    <w:rsid w:val="00254B31"/>
    <w:rsid w:val="00260594"/>
    <w:rsid w:val="00265F26"/>
    <w:rsid w:val="0028277E"/>
    <w:rsid w:val="002A02EE"/>
    <w:rsid w:val="002D4A38"/>
    <w:rsid w:val="002E1654"/>
    <w:rsid w:val="003019E0"/>
    <w:rsid w:val="00304761"/>
    <w:rsid w:val="00351E88"/>
    <w:rsid w:val="003741BA"/>
    <w:rsid w:val="00380CF2"/>
    <w:rsid w:val="00386156"/>
    <w:rsid w:val="003946F3"/>
    <w:rsid w:val="00397ED8"/>
    <w:rsid w:val="003A0970"/>
    <w:rsid w:val="003A24EE"/>
    <w:rsid w:val="003B022B"/>
    <w:rsid w:val="003B6FE1"/>
    <w:rsid w:val="003C7A1F"/>
    <w:rsid w:val="00400AB1"/>
    <w:rsid w:val="0040771B"/>
    <w:rsid w:val="004249D2"/>
    <w:rsid w:val="004479CE"/>
    <w:rsid w:val="00454727"/>
    <w:rsid w:val="00461174"/>
    <w:rsid w:val="004717E8"/>
    <w:rsid w:val="00475FAC"/>
    <w:rsid w:val="00480381"/>
    <w:rsid w:val="00494A14"/>
    <w:rsid w:val="004A46E7"/>
    <w:rsid w:val="004A6B37"/>
    <w:rsid w:val="004B227A"/>
    <w:rsid w:val="004B38C9"/>
    <w:rsid w:val="004D183F"/>
    <w:rsid w:val="004E7272"/>
    <w:rsid w:val="004F1212"/>
    <w:rsid w:val="004F434D"/>
    <w:rsid w:val="004F483D"/>
    <w:rsid w:val="00511219"/>
    <w:rsid w:val="00514134"/>
    <w:rsid w:val="00515A6D"/>
    <w:rsid w:val="005331C2"/>
    <w:rsid w:val="00536D03"/>
    <w:rsid w:val="00560327"/>
    <w:rsid w:val="00563A2A"/>
    <w:rsid w:val="0056674F"/>
    <w:rsid w:val="00573D80"/>
    <w:rsid w:val="005753E6"/>
    <w:rsid w:val="00585CFB"/>
    <w:rsid w:val="005922C2"/>
    <w:rsid w:val="00594C3B"/>
    <w:rsid w:val="005C44D7"/>
    <w:rsid w:val="005C7AB2"/>
    <w:rsid w:val="005D0B2D"/>
    <w:rsid w:val="005E0FEB"/>
    <w:rsid w:val="005E69A6"/>
    <w:rsid w:val="005F4116"/>
    <w:rsid w:val="0060105E"/>
    <w:rsid w:val="00602D21"/>
    <w:rsid w:val="00603712"/>
    <w:rsid w:val="00603835"/>
    <w:rsid w:val="006143FB"/>
    <w:rsid w:val="00616AE0"/>
    <w:rsid w:val="00617E0C"/>
    <w:rsid w:val="00621DAA"/>
    <w:rsid w:val="0064179F"/>
    <w:rsid w:val="00651A6D"/>
    <w:rsid w:val="00657853"/>
    <w:rsid w:val="00672E4B"/>
    <w:rsid w:val="006768E3"/>
    <w:rsid w:val="00676C44"/>
    <w:rsid w:val="006930EE"/>
    <w:rsid w:val="00694EBC"/>
    <w:rsid w:val="006B6F14"/>
    <w:rsid w:val="006B7D6A"/>
    <w:rsid w:val="006C3CF3"/>
    <w:rsid w:val="006F4D65"/>
    <w:rsid w:val="007004AE"/>
    <w:rsid w:val="00707C35"/>
    <w:rsid w:val="00710793"/>
    <w:rsid w:val="007122A2"/>
    <w:rsid w:val="007238C7"/>
    <w:rsid w:val="00747FF5"/>
    <w:rsid w:val="00760ED5"/>
    <w:rsid w:val="007629C6"/>
    <w:rsid w:val="007A14CF"/>
    <w:rsid w:val="007A23CC"/>
    <w:rsid w:val="007B1660"/>
    <w:rsid w:val="007B166A"/>
    <w:rsid w:val="007D2905"/>
    <w:rsid w:val="007E1630"/>
    <w:rsid w:val="007E5AA3"/>
    <w:rsid w:val="007E6B54"/>
    <w:rsid w:val="007F5AB8"/>
    <w:rsid w:val="008108F7"/>
    <w:rsid w:val="00812F7E"/>
    <w:rsid w:val="008131C8"/>
    <w:rsid w:val="008421D3"/>
    <w:rsid w:val="008449BE"/>
    <w:rsid w:val="00853EDE"/>
    <w:rsid w:val="00856F80"/>
    <w:rsid w:val="008579AA"/>
    <w:rsid w:val="00874FCB"/>
    <w:rsid w:val="00885A7F"/>
    <w:rsid w:val="008B05A9"/>
    <w:rsid w:val="008E04D6"/>
    <w:rsid w:val="008E27A3"/>
    <w:rsid w:val="008E32A8"/>
    <w:rsid w:val="008F12E3"/>
    <w:rsid w:val="00903A11"/>
    <w:rsid w:val="0090516C"/>
    <w:rsid w:val="00905F6A"/>
    <w:rsid w:val="009261E9"/>
    <w:rsid w:val="009339F9"/>
    <w:rsid w:val="00934711"/>
    <w:rsid w:val="009431B6"/>
    <w:rsid w:val="00973387"/>
    <w:rsid w:val="00997E7F"/>
    <w:rsid w:val="009A2D03"/>
    <w:rsid w:val="009B36EE"/>
    <w:rsid w:val="009C0A53"/>
    <w:rsid w:val="009C3839"/>
    <w:rsid w:val="009E3CE2"/>
    <w:rsid w:val="00A30AFC"/>
    <w:rsid w:val="00A55D95"/>
    <w:rsid w:val="00A621AD"/>
    <w:rsid w:val="00A72928"/>
    <w:rsid w:val="00A75964"/>
    <w:rsid w:val="00A82AD0"/>
    <w:rsid w:val="00A91590"/>
    <w:rsid w:val="00A92754"/>
    <w:rsid w:val="00AC1620"/>
    <w:rsid w:val="00AC18A4"/>
    <w:rsid w:val="00AD4634"/>
    <w:rsid w:val="00B05426"/>
    <w:rsid w:val="00B10EFA"/>
    <w:rsid w:val="00B17D7A"/>
    <w:rsid w:val="00B23ED0"/>
    <w:rsid w:val="00B246B9"/>
    <w:rsid w:val="00B40A19"/>
    <w:rsid w:val="00B55A30"/>
    <w:rsid w:val="00B66914"/>
    <w:rsid w:val="00B7545D"/>
    <w:rsid w:val="00B82683"/>
    <w:rsid w:val="00B8735C"/>
    <w:rsid w:val="00B94194"/>
    <w:rsid w:val="00B95CD1"/>
    <w:rsid w:val="00BB5C83"/>
    <w:rsid w:val="00BC3858"/>
    <w:rsid w:val="00BC3DE6"/>
    <w:rsid w:val="00BC3F10"/>
    <w:rsid w:val="00BC661B"/>
    <w:rsid w:val="00BE523A"/>
    <w:rsid w:val="00C16703"/>
    <w:rsid w:val="00C254DA"/>
    <w:rsid w:val="00C26215"/>
    <w:rsid w:val="00C560C0"/>
    <w:rsid w:val="00C6402A"/>
    <w:rsid w:val="00C70536"/>
    <w:rsid w:val="00C834A3"/>
    <w:rsid w:val="00C92BC8"/>
    <w:rsid w:val="00CA01CB"/>
    <w:rsid w:val="00CA5392"/>
    <w:rsid w:val="00D259D3"/>
    <w:rsid w:val="00D3236A"/>
    <w:rsid w:val="00D32408"/>
    <w:rsid w:val="00D54E65"/>
    <w:rsid w:val="00D64CEE"/>
    <w:rsid w:val="00D7404E"/>
    <w:rsid w:val="00D9018F"/>
    <w:rsid w:val="00DA7703"/>
    <w:rsid w:val="00DB4CE1"/>
    <w:rsid w:val="00DC1909"/>
    <w:rsid w:val="00DE75DA"/>
    <w:rsid w:val="00DF6BFA"/>
    <w:rsid w:val="00E12DC5"/>
    <w:rsid w:val="00E177AC"/>
    <w:rsid w:val="00E45003"/>
    <w:rsid w:val="00E55398"/>
    <w:rsid w:val="00E656EB"/>
    <w:rsid w:val="00E80298"/>
    <w:rsid w:val="00E94AE4"/>
    <w:rsid w:val="00EB0088"/>
    <w:rsid w:val="00EB2A13"/>
    <w:rsid w:val="00EC3560"/>
    <w:rsid w:val="00EE3CF0"/>
    <w:rsid w:val="00EE762B"/>
    <w:rsid w:val="00EF316F"/>
    <w:rsid w:val="00F03CD7"/>
    <w:rsid w:val="00F35638"/>
    <w:rsid w:val="00F42D3C"/>
    <w:rsid w:val="00F65B86"/>
    <w:rsid w:val="00F7324A"/>
    <w:rsid w:val="00F73DE8"/>
    <w:rsid w:val="00F741AA"/>
    <w:rsid w:val="00F8034E"/>
    <w:rsid w:val="00F94992"/>
    <w:rsid w:val="00FB287A"/>
    <w:rsid w:val="00FC6BE0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4E6FF"/>
  <w15:docId w15:val="{56BB1E49-A899-4D42-B421-E8E175B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79"/>
  </w:style>
  <w:style w:type="paragraph" w:styleId="Titlu1">
    <w:name w:val="heading 1"/>
    <w:basedOn w:val="Normal"/>
    <w:link w:val="Titlu1Caracter"/>
    <w:uiPriority w:val="1"/>
    <w:qFormat/>
    <w:rsid w:val="003E4B98"/>
    <w:pPr>
      <w:widowControl w:val="0"/>
      <w:autoSpaceDE w:val="0"/>
      <w:autoSpaceDN w:val="0"/>
      <w:spacing w:after="0" w:line="240" w:lineRule="auto"/>
      <w:ind w:left="2414" w:right="26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CDD"/>
  </w:style>
  <w:style w:type="paragraph" w:styleId="Subsol">
    <w:name w:val="footer"/>
    <w:basedOn w:val="Normal"/>
    <w:link w:val="SubsolCaracter"/>
    <w:uiPriority w:val="99"/>
    <w:unhideWhenUsed/>
    <w:rsid w:val="00216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CDD"/>
  </w:style>
  <w:style w:type="paragraph" w:styleId="Corptext">
    <w:name w:val="Body Text"/>
    <w:basedOn w:val="Normal"/>
    <w:link w:val="CorptextCaracter"/>
    <w:uiPriority w:val="1"/>
    <w:qFormat/>
    <w:rsid w:val="002D383D"/>
    <w:pPr>
      <w:widowControl w:val="0"/>
      <w:autoSpaceDE w:val="0"/>
      <w:autoSpaceDN w:val="0"/>
      <w:spacing w:after="0" w:line="240" w:lineRule="auto"/>
      <w:ind w:left="110" w:firstLine="6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D383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C01C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C01C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C01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01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C01C2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1C2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1"/>
    <w:qFormat/>
    <w:rsid w:val="008E2CA1"/>
    <w:pPr>
      <w:widowControl w:val="0"/>
      <w:autoSpaceDE w:val="0"/>
      <w:autoSpaceDN w:val="0"/>
      <w:spacing w:after="0" w:line="240" w:lineRule="auto"/>
      <w:ind w:left="110" w:right="396" w:firstLine="631"/>
      <w:jc w:val="both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89184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846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1"/>
    <w:rsid w:val="003E4B9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ED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12300C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B17AE3"/>
    <w:rPr>
      <w:color w:val="0563C1" w:themeColor="hyperlink"/>
      <w:u w:val="single"/>
    </w:rPr>
  </w:style>
  <w:style w:type="character" w:styleId="Textsubstituent">
    <w:name w:val="Placeholder Text"/>
    <w:basedOn w:val="Fontdeparagrafimplicit"/>
    <w:uiPriority w:val="99"/>
    <w:semiHidden/>
    <w:rsid w:val="00AA221E"/>
    <w:rPr>
      <w:color w:val="808080"/>
    </w:rPr>
  </w:style>
  <w:style w:type="paragraph" w:styleId="NormalWeb">
    <w:name w:val="Normal (Web)"/>
    <w:basedOn w:val="Normal"/>
    <w:link w:val="NormalWebCaracter"/>
    <w:uiPriority w:val="99"/>
    <w:rsid w:val="002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NormalWebCaracter">
    <w:name w:val="Normal (Web) Caracter"/>
    <w:link w:val="NormalWeb"/>
    <w:uiPriority w:val="99"/>
    <w:locked/>
    <w:rsid w:val="002B03B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DE75DA"/>
    <w:pPr>
      <w:spacing w:after="200" w:line="276" w:lineRule="auto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DE75DA"/>
    <w:rPr>
      <w:rFonts w:eastAsia="Times New Roman" w:cs="Times New Roman"/>
      <w:sz w:val="20"/>
      <w:szCs w:val="20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112263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112263"/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Fontdeparagrafimplicit"/>
    <w:rsid w:val="003A24EE"/>
  </w:style>
  <w:style w:type="character" w:styleId="Accentuat">
    <w:name w:val="Emphasis"/>
    <w:basedOn w:val="Fontdeparagrafimplicit"/>
    <w:uiPriority w:val="20"/>
    <w:qFormat/>
    <w:rsid w:val="00123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c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GkhuadFXJN+eeJIPtFVUDUSHA==">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6EECFA-F769-409B-99E0-487E5EF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3749</Words>
  <Characters>21750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Gasiuc</dc:creator>
  <cp:lastModifiedBy>Iana Coziriuc</cp:lastModifiedBy>
  <cp:revision>15</cp:revision>
  <cp:lastPrinted>2023-07-16T15:31:00Z</cp:lastPrinted>
  <dcterms:created xsi:type="dcterms:W3CDTF">2023-06-27T13:58:00Z</dcterms:created>
  <dcterms:modified xsi:type="dcterms:W3CDTF">2023-09-25T06:59:00Z</dcterms:modified>
</cp:coreProperties>
</file>