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D5B79" w14:textId="442B7325" w:rsidR="00F82F21" w:rsidRPr="00FF4D87" w:rsidRDefault="00F07B50" w:rsidP="00F07B5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F4D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Утверждено</w:t>
      </w:r>
    </w:p>
    <w:p w14:paraId="26E2A51C" w14:textId="3BEC198A" w:rsidR="00F07B50" w:rsidRPr="00FF4D87" w:rsidRDefault="00F07B50" w:rsidP="00F07B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постановлением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Центральной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избирательной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комиссии</w:t>
      </w:r>
    </w:p>
    <w:p w14:paraId="761FFCA0" w14:textId="31740C51" w:rsidR="00F07B50" w:rsidRPr="00FF4D87" w:rsidRDefault="00F07B50" w:rsidP="00F07B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№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1137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28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июля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2023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г.</w:t>
      </w:r>
    </w:p>
    <w:p w14:paraId="6DC2B9A8" w14:textId="77777777" w:rsidR="00F07B50" w:rsidRPr="00FF4D87" w:rsidRDefault="00F07B50" w:rsidP="00F07B5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0D18157" w14:textId="27BAFA93" w:rsidR="00364CE1" w:rsidRPr="00FF4D87" w:rsidRDefault="00F07B50" w:rsidP="00364C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ПОЛОЖЕНИЕ</w:t>
      </w:r>
    </w:p>
    <w:p w14:paraId="405BCA69" w14:textId="257DDF43" w:rsidR="00364CE1" w:rsidRPr="00FF4D87" w:rsidRDefault="00F07B50" w:rsidP="00364C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об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освещении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выборов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в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средствах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массовой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информации</w:t>
      </w:r>
    </w:p>
    <w:p w14:paraId="0E5D9C2B" w14:textId="77777777" w:rsidR="00364CE1" w:rsidRPr="00FF4D87" w:rsidRDefault="00364CE1" w:rsidP="00F07B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B1C1A" w14:textId="7B4FA0E0" w:rsidR="00F82F21" w:rsidRPr="00FF4D87" w:rsidRDefault="00F07B50" w:rsidP="00531A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I.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Общие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положения</w:t>
      </w:r>
    </w:p>
    <w:p w14:paraId="712207E7" w14:textId="77777777" w:rsidR="007B20AB" w:rsidRPr="00FF4D87" w:rsidRDefault="007B20AB" w:rsidP="00F82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763C5" w14:textId="1E1D5052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определяет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обязанности,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статус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участвующих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процессе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чтобы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обеспечить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комплексное,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объективное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правдивое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информирование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населения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процессе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через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информации.</w:t>
      </w:r>
    </w:p>
    <w:p w14:paraId="2C6B39A2" w14:textId="5CA03636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целях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ясности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легкости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восприятия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текста,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избежание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загромождения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текста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формами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мужского/женского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используемые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термины,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обозначающие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употребляются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форме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мужского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носят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инклюзивный/несексистский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характер.</w:t>
      </w:r>
    </w:p>
    <w:p w14:paraId="288ED71E" w14:textId="2ED69C5E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Нормы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применяются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освещающим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парламентские,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президентские,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местные,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региональные,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новые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частичные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исключением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политическими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партиями.</w:t>
      </w:r>
    </w:p>
    <w:p w14:paraId="0ADF5685" w14:textId="26954C0E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справедливости,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сбалансированности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выборов.</w:t>
      </w:r>
    </w:p>
    <w:p w14:paraId="3506DDC5" w14:textId="257DED6F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целях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понятия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означают:</w:t>
      </w:r>
    </w:p>
    <w:p w14:paraId="6376A3E8" w14:textId="133325F2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 xml:space="preserve"> </w:t>
      </w:r>
      <w:r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принцип</w:t>
      </w:r>
      <w:r w:rsidR="00FF4D87"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 xml:space="preserve"> </w:t>
      </w:r>
      <w:r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справедливости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относятся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равноправной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честно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протагонистам,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общественность;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справедливости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ассоциируется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скорее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равенства,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меритократии;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предполагается,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прежние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заслуги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становятся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недействительными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самым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находятся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условиях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равной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конкуренции;</w:t>
      </w:r>
    </w:p>
    <w:p w14:paraId="597AF736" w14:textId="339AB44D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 xml:space="preserve"> </w:t>
      </w:r>
      <w:r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принцип</w:t>
      </w:r>
      <w:r w:rsidR="00FF4D87"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 xml:space="preserve"> </w:t>
      </w:r>
      <w:r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сбалансированности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основанный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идее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непреобладания,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практике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понимать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образом: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распределяет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протагонистам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равных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условиях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время/место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газете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образом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воспринимает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протагонистов,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вовлеченных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процесс,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общественность;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оснований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продлевать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счет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выборах;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равной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степени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отношении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интервала,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газете/журнале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т.п.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подхода)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значимых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публичных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мероприятиях;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один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организует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публичные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мероприятия,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нарушает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сбалансированности;</w:t>
      </w:r>
    </w:p>
    <w:p w14:paraId="5D6ABD17" w14:textId="044356BF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 xml:space="preserve"> </w:t>
      </w:r>
      <w:r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принцип</w:t>
      </w:r>
      <w:r w:rsidR="00FF4D87"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 xml:space="preserve"> </w:t>
      </w:r>
      <w:r w:rsidRPr="00FF4D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непредвзятости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относится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протагонистам,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общественность,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предубеждений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непредвзято;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приравнивается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любой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формы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фаворитизма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отношению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любому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протагонисту/конкуренту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зависимости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причины;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основанный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равном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граждан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получение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протагонистах/конкурентах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Наличие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отсутствие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предвзятого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отношения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определяется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основании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двух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критериев: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субъективного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объективного.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Субъективный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критерий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учитывает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поведение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личные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убеждения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конкретного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(корреспондента,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модератора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т.д.),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проявляет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предубеждение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предвзятость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Объективный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критерий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определяет,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само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достаточные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гарантии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исключения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любых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законных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сомнений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беспристрастности.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большинстве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предпочтительно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применять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объективный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критерий.</w:t>
      </w:r>
    </w:p>
    <w:p w14:paraId="62E4F977" w14:textId="25748D07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занимает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государственную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должность,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четко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разграничивать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материалах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исполнение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государственной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случаях,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интерес,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деятельность.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материалы,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отражено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исполнение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государственной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справедливости,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сбалансированности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непредвзятости.</w:t>
      </w:r>
    </w:p>
    <w:p w14:paraId="05432978" w14:textId="7A232DE1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кампании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парламентским,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президентским,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всеобщим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республиканским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публиковать/транслировать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новых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(частичных)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правила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опубликования/трансляции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устанавливаются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Центральной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комиссией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(далее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ЦИК).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Трансляция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сообщений,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интерес,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любом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виде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осуществляется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только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согласия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ЦИК.</w:t>
      </w:r>
    </w:p>
    <w:p w14:paraId="7C9A8EE5" w14:textId="5A96525E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находящиеся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юрисдикцией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Молдова,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доступ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медиапространству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намеревающиеся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обеспечивать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нормы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Положения.</w:t>
      </w:r>
    </w:p>
    <w:p w14:paraId="5068F122" w14:textId="476E59CF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вправе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свободно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какого-либо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вмешательства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стороны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публичной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власти,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субъектов.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фрилансеры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(блогеры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влогеры),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(протокольные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съемки,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помещениях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согласия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председателя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интервью,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репортажи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т.п.)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выполняют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необходимости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наличии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специального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разрешения.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фрилансеры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(блогеры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влогеры),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помимо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намерены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воспользоваться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правами,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(6)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89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кодекса,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получить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статус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наблюдателя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установленном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ЦИК.</w:t>
      </w:r>
    </w:p>
    <w:p w14:paraId="64F78EA0" w14:textId="245BE4BB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10.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целях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доступа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фрилансеров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(блогеров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влогеров),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мероприятия,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связанные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целях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реализации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d)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(8)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80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(6)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89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кодекса,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окружные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советы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вправе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работающих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главой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II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Положения.</w:t>
      </w:r>
    </w:p>
    <w:p w14:paraId="0AAA716F" w14:textId="77777777" w:rsidR="001A02A4" w:rsidRPr="00FF4D87" w:rsidRDefault="001A02A4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52862" w14:textId="22A4D1AB" w:rsidR="001A02A4" w:rsidRPr="00FF4D87" w:rsidRDefault="004E2050" w:rsidP="00BB63CC">
      <w:pPr>
        <w:pStyle w:val="Listparagraf"/>
        <w:tabs>
          <w:tab w:val="left" w:pos="993"/>
        </w:tabs>
        <w:ind w:left="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02A4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Процедура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утверждения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832E59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средства</w:t>
      </w:r>
      <w:r w:rsidR="00832E59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ми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массовой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информации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,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качестве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наблюдателей</w:t>
      </w:r>
    </w:p>
    <w:p w14:paraId="2F903232" w14:textId="77777777" w:rsidR="001A02A4" w:rsidRPr="00FF4D87" w:rsidRDefault="001A02A4" w:rsidP="00BB63CC">
      <w:pPr>
        <w:pStyle w:val="Listparagra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75B1B1" w14:textId="021258D3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запросу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фрилансеров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(блогеров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влогеров),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процесс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территории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страны,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окружных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советах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участках,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образованных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Молдова,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проживающих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административно-территориальных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единицах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левобережья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Днестра,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участках,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образованных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пределами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Молдова.</w:t>
      </w:r>
    </w:p>
    <w:p w14:paraId="632EC843" w14:textId="48C2F7E6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Окружной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совет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Центральный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совет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Гагаузии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утверждает,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запросу,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территории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округа.</w:t>
      </w:r>
    </w:p>
    <w:p w14:paraId="14C5A0F0" w14:textId="7AFC8626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международными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иностранными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намереваются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переводчики,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Министерством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иностранных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европейской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интеграции,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применение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(6)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89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кодекса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подтверждается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ЦИК.</w:t>
      </w:r>
    </w:p>
    <w:p w14:paraId="7CBBCE8E" w14:textId="2F17908C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14.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Запросы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либо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окружным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советам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местонахождению.</w:t>
      </w:r>
    </w:p>
    <w:p w14:paraId="4BF026B4" w14:textId="24F113B3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переводчиков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документы:</w:t>
      </w:r>
    </w:p>
    <w:p w14:paraId="5709B0D0" w14:textId="0116347E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стороны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запрашивающего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вместе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списком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нанятых/удостоверенных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предлагаемых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утверждения,</w:t>
      </w:r>
    </w:p>
    <w:p w14:paraId="29D10B35" w14:textId="450E1917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копии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выписок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регистрации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соответствующими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публичной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власти.</w:t>
      </w:r>
    </w:p>
    <w:p w14:paraId="53A7BC75" w14:textId="43203660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фрилансера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приобщается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доказательство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ассоциации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перечень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публикаций.</w:t>
      </w:r>
    </w:p>
    <w:p w14:paraId="64F5A3ED" w14:textId="3E40F1E8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международными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иностранными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переводчики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Министерством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иностранных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европейской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интеграции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основании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Правительства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№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359/1995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«Об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аккредитовании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иностранных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Молдова».</w:t>
      </w:r>
    </w:p>
    <w:p w14:paraId="3E9EA99E" w14:textId="32195474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документов,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пункту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15,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основанием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отклонения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кандидатуры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предложенной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отклонения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поданного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субъектом.</w:t>
      </w:r>
    </w:p>
    <w:p w14:paraId="67DDE92A" w14:textId="3F39DA39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уведомление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намерении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(6)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89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кодекса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международных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иностранных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представлены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назначения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даты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позднее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выборов.</w:t>
      </w:r>
    </w:p>
    <w:p w14:paraId="4746D722" w14:textId="5C345B28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19.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поданные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пунктом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18,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рассматриваются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момента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подачи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комплекта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документов,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позднее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предшествующего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включении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проекта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повестку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подавшие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субъекты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извещаются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менее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24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заседания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присутствие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необязательно,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непосредственному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требованию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обязательно.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немотивированный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отказ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явиться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заседание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рассмотрению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может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служить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основанием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отклонения.</w:t>
      </w:r>
    </w:p>
    <w:p w14:paraId="03B81C41" w14:textId="3E76662A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20.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рассмотрении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принимает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решений:</w:t>
      </w:r>
    </w:p>
    <w:p w14:paraId="4920A87A" w14:textId="4CCF0145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полностью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одобряет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информации;</w:t>
      </w:r>
    </w:p>
    <w:p w14:paraId="04EC3960" w14:textId="74FFE423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частично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одобряет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только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списка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коллективного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запроса;</w:t>
      </w:r>
    </w:p>
    <w:p w14:paraId="7561BE4F" w14:textId="26F36716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отклоняет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утверждении;</w:t>
      </w:r>
    </w:p>
    <w:p w14:paraId="41CEE3DF" w14:textId="60BF7899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откладывает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заседание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рассмотрению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устранения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выявленных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недостатков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выяснения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обстоятельств,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связанных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административным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производством.</w:t>
      </w:r>
    </w:p>
    <w:p w14:paraId="3908AF90" w14:textId="38918D7C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Отказ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должен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обоснован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Административного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кодекса.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индивидуальным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административным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актом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оспаривается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главы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XIII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кодекса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административном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применением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сроков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институциональной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компетенции.</w:t>
      </w:r>
    </w:p>
    <w:p w14:paraId="1D440114" w14:textId="5E040993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максимум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24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момента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принятия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веб-странице.</w:t>
      </w:r>
    </w:p>
    <w:p w14:paraId="54EA26F8" w14:textId="7D0D2F89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Реализация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информирование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аспектах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процесса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начинается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вступления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силу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осуществляется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предъявлении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действующего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журналиста,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выданного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средством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массовой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копии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органа.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Исполнение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обязанностей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начинается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вступления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силу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истекает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день,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окончательных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результатов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компетентными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окончательным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постановлением.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неподтверждения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законности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голосования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остается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силе,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назначения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новых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голосования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заявитель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может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постановления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удостоверенных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необходимости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предъявления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документов,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пункте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15.</w:t>
      </w:r>
    </w:p>
    <w:p w14:paraId="684F8FDD" w14:textId="77777777" w:rsidR="00A93C20" w:rsidRPr="00FF4D87" w:rsidRDefault="00A93C20" w:rsidP="00BB6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F4F0F50" w14:textId="626056CB" w:rsidR="00A93C20" w:rsidRPr="00FF4D87" w:rsidRDefault="00D836F4" w:rsidP="00BB63CC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240A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A93C20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Освещение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выборов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78C9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78C9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рамках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78C9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78C9" w:rsidRPr="00FF4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медиауслуг</w:t>
      </w:r>
    </w:p>
    <w:p w14:paraId="270B5DD6" w14:textId="77777777" w:rsidR="00A93C20" w:rsidRPr="00FF4D87" w:rsidRDefault="00A93C20" w:rsidP="00BB6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2C568" w14:textId="22B5AF24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первые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семь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начала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подают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Совет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телевидению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радио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(далее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связи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установленному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образцу,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направляют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уведомление,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сообщают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неучастии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выборов.</w:t>
      </w:r>
    </w:p>
    <w:p w14:paraId="1B6C1D52" w14:textId="4CC579F4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содержать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минимум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следующее:</w:t>
      </w:r>
    </w:p>
    <w:p w14:paraId="1DAD940E" w14:textId="35AB6002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фамилию/имя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собственника/собственников;</w:t>
      </w:r>
    </w:p>
    <w:p w14:paraId="27159895" w14:textId="47369F69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обязательство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справедливости,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сбалансированности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непредвзятости;</w:t>
      </w:r>
    </w:p>
    <w:p w14:paraId="028B4827" w14:textId="5E080462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перечень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классифицированных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90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кодекса,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промежуток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(включая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повторы)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трансляции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программы;</w:t>
      </w:r>
    </w:p>
    <w:p w14:paraId="345BA03D" w14:textId="3AD53C11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концепцию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структуру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дебатов;</w:t>
      </w:r>
    </w:p>
    <w:p w14:paraId="3A1F141D" w14:textId="28DCDD61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периодичность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еженедельный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переводом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язык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мимики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жестов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языки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меньшинств;</w:t>
      </w:r>
    </w:p>
    <w:p w14:paraId="55535FBF" w14:textId="659C982D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бесплатного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платного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времени;</w:t>
      </w:r>
    </w:p>
    <w:p w14:paraId="7A8CF99A" w14:textId="3B241B31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тарифы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рекламу;</w:t>
      </w:r>
    </w:p>
    <w:p w14:paraId="0D507346" w14:textId="009F9969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обстоятельствам,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тарифы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сопутствующие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(специализированные)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услуги,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предполагается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оказывать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запросу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референдума;</w:t>
      </w:r>
    </w:p>
    <w:p w14:paraId="6262EE50" w14:textId="4ACA133C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фамилия/имя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контактные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данные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ответственного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выборов;</w:t>
      </w:r>
    </w:p>
    <w:p w14:paraId="085D6183" w14:textId="642F1D98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10)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подпись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медиауслуг.</w:t>
      </w:r>
    </w:p>
    <w:p w14:paraId="01728808" w14:textId="6F49AEFA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Данные,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ошибочно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уведомлениях,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классифицированы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ложные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заявлениях.</w:t>
      </w:r>
    </w:p>
    <w:p w14:paraId="21D9392E" w14:textId="0A0BB0F0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перечень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включил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минимум:</w:t>
      </w:r>
    </w:p>
    <w:p w14:paraId="25735BE0" w14:textId="78DEE1EA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информационно-новостные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программы;</w:t>
      </w:r>
    </w:p>
    <w:p w14:paraId="55986E43" w14:textId="4230C0EF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дебаты;</w:t>
      </w:r>
    </w:p>
    <w:p w14:paraId="53CAE647" w14:textId="43FB0916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рекламу.</w:t>
      </w:r>
    </w:p>
    <w:p w14:paraId="29F12389" w14:textId="3964F059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парламентских,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президентских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республиканских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перечень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пунктом,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входят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агитации.</w:t>
      </w:r>
    </w:p>
    <w:p w14:paraId="22ED0E45" w14:textId="7B419AEE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парламентским,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президентским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республиканским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новостных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обладающие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лицензией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вещание,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выданной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включенные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список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«must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carry»,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тематических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вправе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выборы.</w:t>
      </w:r>
    </w:p>
    <w:p w14:paraId="7B493C30" w14:textId="59D7B3B5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странице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размещаются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24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момента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утверждения.</w:t>
      </w:r>
    </w:p>
    <w:p w14:paraId="4396F672" w14:textId="03A88601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29.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размещает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видном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легкодоступном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24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хранит/держит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заканчивается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через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недели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второго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тура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голосования.</w:t>
      </w:r>
    </w:p>
    <w:p w14:paraId="11795ABE" w14:textId="4B2B14FF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30.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требованиям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законодательства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отклоняет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обязывает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исправить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ситуацию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более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дней.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этого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срока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считает,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ситуация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была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исправлена,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подлежит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отклонению.</w:t>
      </w:r>
    </w:p>
    <w:p w14:paraId="779AF101" w14:textId="18059024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право:</w:t>
      </w:r>
    </w:p>
    <w:p w14:paraId="0E1CA63B" w14:textId="64897DFB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уведомили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неучастии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выборов;</w:t>
      </w:r>
    </w:p>
    <w:p w14:paraId="7C21EA70" w14:textId="2C16AAF0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установленные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сроки,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устанавливается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решении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СТР;</w:t>
      </w:r>
    </w:p>
    <w:p w14:paraId="3C2BD60E" w14:textId="07B575A7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установленные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сроки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отклонены.</w:t>
      </w:r>
    </w:p>
    <w:p w14:paraId="78BFAB3A" w14:textId="6CFD5E21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пунктом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31,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вправе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агитации,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рекламу.</w:t>
      </w:r>
    </w:p>
    <w:p w14:paraId="6C18CF99" w14:textId="682C9607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подпунктом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пункта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31,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размещают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объявление,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сообщают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неучастии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подпунктами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пункта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31,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размещают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объявление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неучастии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причине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неучастия.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Объявление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видном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24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момента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принятия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решения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хранится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выборов.</w:t>
      </w:r>
    </w:p>
    <w:p w14:paraId="0EE1006B" w14:textId="3BAAA18C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изменять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изменения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совокупности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условиям:</w:t>
      </w:r>
    </w:p>
    <w:p w14:paraId="68D9C8A2" w14:textId="25C07F6A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необходимы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обоснованы;</w:t>
      </w:r>
    </w:p>
    <w:p w14:paraId="05F2DECC" w14:textId="29A885FE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нарушают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справедливости,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сбалансированности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выборов;</w:t>
      </w:r>
    </w:p>
    <w:p w14:paraId="5159F9D2" w14:textId="53E761DB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</w:p>
    <w:p w14:paraId="03D1D299" w14:textId="602D55A6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принимает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решение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изменении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более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рабочих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момента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получения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запроса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отношении.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Измененная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публикуется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вместо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первоначальной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24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момента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изменения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</w:p>
    <w:p w14:paraId="2388DAE0" w14:textId="5CCE2C2F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вносить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изменения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запрашивая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одобрения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стороны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справедливости,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сбалансированности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изменения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касаются:</w:t>
      </w:r>
    </w:p>
    <w:p w14:paraId="54418C0E" w14:textId="1621F3B1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количества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продолжительности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рекламы;</w:t>
      </w:r>
    </w:p>
    <w:p w14:paraId="71A6D644" w14:textId="1C116F2C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периодичности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продолжительности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агитации;</w:t>
      </w:r>
    </w:p>
    <w:p w14:paraId="2876DF19" w14:textId="5D229FD0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количества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продолжительности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агитации;</w:t>
      </w:r>
    </w:p>
    <w:p w14:paraId="7359873D" w14:textId="5349FD70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количества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дебатам.</w:t>
      </w:r>
    </w:p>
    <w:p w14:paraId="4CA6221A" w14:textId="46A53016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трансляции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06:00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24:00,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исключением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прайм-тайме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согласно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Кодексу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медиауслугах.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транслироваться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промежутках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возможность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политике.</w:t>
      </w:r>
    </w:p>
    <w:p w14:paraId="1C770B80" w14:textId="7849C58D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информационно-новостных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сюжеты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характера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включаются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специальный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раздел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„Electorala”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(«Выборы»),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выделяемый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начале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помощи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уникальных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акустических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сигналов.</w:t>
      </w:r>
    </w:p>
    <w:p w14:paraId="1E00EEFD" w14:textId="57E3CA00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39.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Информационные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организуются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инициативе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выделяться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начале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помощи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уникальных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акустических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сигналов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пометкой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„Emisiune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de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informare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electorală”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(«Информационная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выборах»).</w:t>
      </w:r>
    </w:p>
    <w:p w14:paraId="24DD304F" w14:textId="608FF5BB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40.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предоставляют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партиям,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блокам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независимым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кандидатам,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зарегистрированным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качестве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бесплатного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телевизионных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десять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бесплатного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радиовещательных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услуг.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целиком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первых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15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начала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кампании.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Предоставленное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бесплатно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используется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исключительно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приведения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агитации,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транслируемых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отдельно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контента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выделенных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начале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помощи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уникальных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акустических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сигналов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пометкой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„Emisiune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de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promovare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electorală”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(«Передача,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агитации»).</w:t>
      </w:r>
    </w:p>
    <w:p w14:paraId="54931CB7" w14:textId="6493600B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использоваться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изображения,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религиозные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культы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составные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иностранных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зарубежные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публичные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публичной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власти,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международные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организации.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сочетания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цветов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звуков,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напоминающие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символику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государства,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использование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материалов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изображением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зарубежных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исторических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личностей,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символики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иностранных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государств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международных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организаций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либо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изображений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иностранных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ведет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опорочиванию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дискредитации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государства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народа,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разжиганию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агрессии,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национальной,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религиозной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розни,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подстрекательству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дискриминации,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территориальному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сепаратизму,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насилию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использование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общеизвестных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атрибутов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символов,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используются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контексте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действий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агрессии,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преступлений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преступлений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против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человечности,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пропаганды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прославления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этих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действий.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отступления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применяются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отношении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обязательств,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принятых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Молдова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основании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международных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соглашений,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заключенных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Европейским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Союзом.</w:t>
      </w:r>
    </w:p>
    <w:p w14:paraId="2AC18667" w14:textId="5A71E95E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материалах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характера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продвигает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гендерно-чувствительную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журналистику,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означает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равного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представительства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женщин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мужчин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качестве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источников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мнений,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экспертных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знаний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возможности,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качестве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соискателей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выборах.</w:t>
      </w:r>
    </w:p>
    <w:p w14:paraId="5D4DE2CD" w14:textId="4E804052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обеспечивает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доступ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нарушениями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зрения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слуха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минимум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одному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выпуску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неделю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специальной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рубрики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„Electorala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20__”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(«Выборы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20__»).</w:t>
      </w:r>
    </w:p>
    <w:p w14:paraId="1002B3F5" w14:textId="18C809FC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предназначены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людей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нарушениями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зрения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слуха,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идентифицированы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транслируемые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доступа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людей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нарушениями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зрения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слуха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пожилых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людей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посредством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предупреждений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статических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разборчивых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изображений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экране.</w:t>
      </w:r>
    </w:p>
    <w:p w14:paraId="52BE7D8B" w14:textId="11868A1E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предназначенные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особыми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потребностями,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образом,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чтобы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синхронного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перевода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язык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мимики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жеста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изображения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рук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осуществляющего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перевод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была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размере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менее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1/3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экрана.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титрования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контента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титры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легко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читаемого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размера,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воспроизводиться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параллельно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контента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транслируемых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изображений,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располагаться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прокручивающимися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титрами,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нижней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частью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экрана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бегущей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строкой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(«crawl»).</w:t>
      </w:r>
    </w:p>
    <w:p w14:paraId="70E31888" w14:textId="10299E96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может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транслироваться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двух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более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медиауслуг.</w:t>
      </w:r>
    </w:p>
    <w:p w14:paraId="53310DD8" w14:textId="73F20A93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приобретать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характера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независимых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производителей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Молдова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только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условии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справедливости,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сбалансированности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выборов.</w:t>
      </w:r>
    </w:p>
    <w:p w14:paraId="1BECFBCD" w14:textId="2E7BD9FA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результатов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относительно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предпочтений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избирателей,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обязательном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дополнительно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информацию:</w:t>
      </w:r>
    </w:p>
    <w:p w14:paraId="6D84A343" w14:textId="773A6238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заказчик,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проводил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известно,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оплатил;</w:t>
      </w:r>
    </w:p>
    <w:p w14:paraId="14783F99" w14:textId="2D6D907C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использованный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метод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проводился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опрос;</w:t>
      </w:r>
    </w:p>
    <w:p w14:paraId="642C869A" w14:textId="302BD070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география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(количество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респондентов)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допустимая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погрешность;</w:t>
      </w:r>
    </w:p>
    <w:p w14:paraId="1B34C0BA" w14:textId="3C389DD0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санкционирование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стороны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отсутствие.</w:t>
      </w:r>
    </w:p>
    <w:p w14:paraId="51D25FEF" w14:textId="1CFB499E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49.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материалах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характера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проводит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четкое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разграничение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между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социологическими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мнений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другими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видами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нерепрезентативных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(vox-populi,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телеголосование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т.д).</w:t>
      </w:r>
    </w:p>
    <w:p w14:paraId="0EB72ECA" w14:textId="7AE3C587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50.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результаты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предпочтениях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мнение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респондентов,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свершившийся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факт.</w:t>
      </w:r>
    </w:p>
    <w:p w14:paraId="248AC27E" w14:textId="2323FA25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транслировать,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сюжеты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результатах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отношении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предпочтений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избирателей.</w:t>
      </w:r>
    </w:p>
    <w:p w14:paraId="7A541DB5" w14:textId="24550D8B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день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обстоятельствам,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21:00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воскресного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результатах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отношении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предпочтений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избирателей,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сделанном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экзитполлов,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интервью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количестве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набранных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голосов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вариантах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(дней)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шансах.</w:t>
      </w:r>
    </w:p>
    <w:p w14:paraId="0804A2F7" w14:textId="407E2C12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Использование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архивных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материалов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ясно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сопровождаться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отметкой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«Архив»,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обстоятельствам,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видео-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аудиоотметкой.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Архивные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материалы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использоваться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искажается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изначальный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смысл.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Архивным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материалом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считается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любой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материал,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хранящийся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любом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носителе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(видео,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бумага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т.п.),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изготовленный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начала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периода.</w:t>
      </w:r>
    </w:p>
    <w:p w14:paraId="34EC9B19" w14:textId="0A9B6936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перепрограммированы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только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технических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неполадок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форс-мажорных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обстоятельств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уведомлением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общественности.</w:t>
      </w:r>
    </w:p>
    <w:p w14:paraId="7406DEDA" w14:textId="771AC180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автор,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модератор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ведущий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назначенным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кандидатом,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доверенным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казначеем,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представителем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членом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партии,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стороны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баллотируется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родственником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второй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степени,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приостанавливает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вещание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трансляции,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архива,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обстоятельствам,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качеством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обладает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автор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ведущий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программ.</w:t>
      </w:r>
    </w:p>
    <w:p w14:paraId="46A04A0E" w14:textId="4ED71853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распространители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права:</w:t>
      </w:r>
    </w:p>
    <w:p w14:paraId="0E45D47B" w14:textId="501B79F5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приостанавливать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прерывать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ретрансляцию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выборы;</w:t>
      </w:r>
    </w:p>
    <w:p w14:paraId="27F51A8C" w14:textId="118F40EB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каким-либо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образом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вмешиваться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ретранслируемые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медиауслуги;</w:t>
      </w:r>
    </w:p>
    <w:p w14:paraId="0108389E" w14:textId="00875F39" w:rsidR="00896D51" w:rsidRPr="00896D51" w:rsidRDefault="00896D51" w:rsidP="00896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помещать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список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«must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carry»,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кроме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первых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20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предложении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ретрансляции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9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медиауслуг.</w:t>
      </w:r>
    </w:p>
    <w:p w14:paraId="22EB1039" w14:textId="77777777" w:rsidR="00060783" w:rsidRPr="00FF4D87" w:rsidRDefault="00060783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EDA2B42" w14:textId="5533D000" w:rsidR="00060783" w:rsidRPr="00FF4D87" w:rsidRDefault="00975821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240A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060783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6C0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6C0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6C0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6C0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проведения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6C0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предвыборных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6C0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дебатов</w:t>
      </w:r>
    </w:p>
    <w:p w14:paraId="02BA4092" w14:textId="77777777" w:rsidR="00060783" w:rsidRPr="00FF4D87" w:rsidRDefault="00060783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1091B" w14:textId="7764B26C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кампании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любых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видов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организуют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концепцией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структурой,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указанными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требованиями,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установленными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Положением.</w:t>
      </w:r>
    </w:p>
    <w:p w14:paraId="1BC717FE" w14:textId="03373EE7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прайм-тайме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отличаться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уникальными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звуковыми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визуальными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сигналами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упоминанием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«Предвыборные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20__».</w:t>
      </w:r>
    </w:p>
    <w:p w14:paraId="3FF0342E" w14:textId="66A1EFAC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выделяться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помощи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уникальных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акустических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сигналов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пометкой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„Dezbateri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electorale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20__”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(«Предвыборные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20__»).</w:t>
      </w:r>
    </w:p>
    <w:p w14:paraId="7D0E986E" w14:textId="19F498E1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59.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направляет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персональное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публичное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приглашение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менее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назначенных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приглашения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контактные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данные,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указанные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документах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регистрации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органом.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приглашении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указываются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тема,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условия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явки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Условия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включать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предупреждение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недопустимости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опоздания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опозданием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понимается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отсутствие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приглашенного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гостя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момент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запрограммированного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начала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дебатов.</w:t>
      </w:r>
    </w:p>
    <w:p w14:paraId="33FABE5B" w14:textId="5D1D8B5F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60.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участвовать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только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зависимости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обстоятельств,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представители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органах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доверенные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зарегистрированные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специальном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прямом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назначении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референдума.</w:t>
      </w:r>
    </w:p>
    <w:p w14:paraId="35656F6B" w14:textId="000DC95E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Отказ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либо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отсутствие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является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основанием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отмены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приостановления.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отсутствия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зарезервированное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возмещается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присутствующим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дебатах.</w:t>
      </w:r>
    </w:p>
    <w:p w14:paraId="0F7024DB" w14:textId="63F9CFF4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запрещаются:</w:t>
      </w:r>
    </w:p>
    <w:p w14:paraId="5C4295E3" w14:textId="29844071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ненавистнические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высказывания;</w:t>
      </w:r>
    </w:p>
    <w:p w14:paraId="017D0561" w14:textId="58B9332F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дезинформирование;</w:t>
      </w:r>
    </w:p>
    <w:p w14:paraId="3443FA89" w14:textId="262E6599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сообщения,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оправдывающие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агрессивные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войны,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отрицающие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преступления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преступления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против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человечества,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сообщения,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прямо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законом;</w:t>
      </w:r>
    </w:p>
    <w:p w14:paraId="2EEF1843" w14:textId="075E06FB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использование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сексистской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лексики.</w:t>
      </w:r>
    </w:p>
    <w:p w14:paraId="2582940D" w14:textId="6518FBA9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Модераторы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обязаны:</w:t>
      </w:r>
    </w:p>
    <w:p w14:paraId="1D76806B" w14:textId="4F7A8777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обеспечивать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справедливости,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сбалансированности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непредвзятости;</w:t>
      </w:r>
    </w:p>
    <w:p w14:paraId="662941DA" w14:textId="10CA5B27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поддерживать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объявленной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вынесенной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обсуждение;</w:t>
      </w:r>
    </w:p>
    <w:p w14:paraId="57D03A7F" w14:textId="2EA4D045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вмешиваться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надлежащим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образом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(требовать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норм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отключать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микрофон,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прервать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передачу,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приостановить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дистанцироваться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сообщений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т.п.)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несоблюдения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правил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настоящим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Положением.</w:t>
      </w:r>
    </w:p>
    <w:p w14:paraId="6A610AAD" w14:textId="7E182AE0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прерываются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повторно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из-за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несоблюдения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правил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модератор/модераторы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решение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приостановлении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передачи.</w:t>
      </w:r>
    </w:p>
    <w:p w14:paraId="27E3884F" w14:textId="5EFE1027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65.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приостановлены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причине,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указанной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пункте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63,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вправе:</w:t>
      </w:r>
    </w:p>
    <w:p w14:paraId="5EF10308" w14:textId="371627F5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перепрограммировать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приглашенных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субъектов,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приглашенных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субъектов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приостановленные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дебаты;</w:t>
      </w:r>
    </w:p>
    <w:p w14:paraId="5F0E3CEB" w14:textId="3B5FD270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перепрограммировать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изменением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состава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приглашенных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субъектов,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приглашенных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субъектов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приостановленные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дебаты;</w:t>
      </w:r>
    </w:p>
    <w:p w14:paraId="4043FC9B" w14:textId="2F2D4F68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перепрограммировать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приостановленных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промежуток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отличный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указанного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</w:p>
    <w:p w14:paraId="0B3E9C1B" w14:textId="36568BDE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приостановлены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техническим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причинам,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перепрограммировать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приглашенных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приостановленные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дебаты.</w:t>
      </w:r>
    </w:p>
    <w:p w14:paraId="7BF76A75" w14:textId="4E2AF1F6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Модераторами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доверенные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лица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родственники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второй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степени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родства.</w:t>
      </w:r>
    </w:p>
    <w:p w14:paraId="5DBC029D" w14:textId="4E1E892D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Один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модератор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может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кроме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услуги.</w:t>
      </w:r>
    </w:p>
    <w:p w14:paraId="10BD2179" w14:textId="2650B0E5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69.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нельзя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включать:</w:t>
      </w:r>
    </w:p>
    <w:p w14:paraId="42B9C9AB" w14:textId="09A50E3D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данные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результатах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предпочтениях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(кроме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телеголосования);</w:t>
      </w:r>
    </w:p>
    <w:p w14:paraId="6C7A6D20" w14:textId="42DAB0A4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прокручивающиеся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титры.</w:t>
      </w:r>
    </w:p>
    <w:p w14:paraId="2FB953D2" w14:textId="645254DE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70.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правила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распространяются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проводимые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офлайн-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онлайн-среде.</w:t>
      </w:r>
    </w:p>
    <w:p w14:paraId="0AC2B5D0" w14:textId="77777777" w:rsidR="00C70048" w:rsidRPr="00FF4D87" w:rsidRDefault="00C70048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o-RO"/>
        </w:rPr>
      </w:pPr>
    </w:p>
    <w:p w14:paraId="6AC5A342" w14:textId="23AB85E5" w:rsidR="00C70048" w:rsidRPr="00FF4D87" w:rsidRDefault="00DC55AA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0048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Распространение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предвыборной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рекламы</w:t>
      </w:r>
    </w:p>
    <w:p w14:paraId="3B150BBF" w14:textId="77777777" w:rsidR="00C70048" w:rsidRPr="00FF4D87" w:rsidRDefault="00C70048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09BD9" w14:textId="66E8FF31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семи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начала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освещающий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условиях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площадей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указанием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тарифов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обстоятельствам,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сопутствующие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(специализированные)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услуги,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оказываемые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запросу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инициативным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группам.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веб-странице.</w:t>
      </w:r>
    </w:p>
    <w:p w14:paraId="4547C653" w14:textId="418DD45D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парламентских,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президентских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республиканских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предоставляют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бесплатно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политическим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партиям,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блокам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независимым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кандидатам,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зарегистрированным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качестве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минуте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ежедневно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размещения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новостной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медиауслуги.</w:t>
      </w:r>
    </w:p>
    <w:p w14:paraId="6D90269B" w14:textId="683301DB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зарегистрированному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запросу,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условиях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учетом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тарифов,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указанных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</w:p>
    <w:p w14:paraId="4E25FAF3" w14:textId="307B582E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содержать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действительности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информацию.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наносит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ущерба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текущей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практикам,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заключаются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формулировании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преувеличенных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суждений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понимать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буквально.</w:t>
      </w:r>
    </w:p>
    <w:p w14:paraId="221912D2" w14:textId="477531C9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публиковать/распространять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противоречащую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Закона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№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62/2022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рекламе.</w:t>
      </w:r>
    </w:p>
    <w:p w14:paraId="36F3D443" w14:textId="3A9AC2F6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76.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Ответственность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содержание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несет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Ответственность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противоречащей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Закону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№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62/2022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несет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рекламораспространитель.</w:t>
      </w:r>
    </w:p>
    <w:p w14:paraId="4322DD3D" w14:textId="3E28A7D8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назначает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промежуток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заключения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письменной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форме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договора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«первым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пришел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первым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обслужен».</w:t>
      </w:r>
    </w:p>
    <w:p w14:paraId="2B8E5144" w14:textId="18B44793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случаях:</w:t>
      </w:r>
    </w:p>
    <w:p w14:paraId="0DD06AF5" w14:textId="00B5B65D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собственной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инициативе;</w:t>
      </w:r>
    </w:p>
    <w:p w14:paraId="0FA3F6E6" w14:textId="0445041D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отсутствии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договора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заключенного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письменной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форме,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рекламы;</w:t>
      </w:r>
    </w:p>
    <w:p w14:paraId="20438A62" w14:textId="325BDA12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неосуществлении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авансового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платежа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рекламы;</w:t>
      </w:r>
    </w:p>
    <w:p w14:paraId="5A208740" w14:textId="36F39919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авансовый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платеж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произведен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источников,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нежели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фонда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референдума;</w:t>
      </w:r>
    </w:p>
    <w:p w14:paraId="2CF17E30" w14:textId="439F0424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5)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ведет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нарушению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требований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действующего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законодательства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и/или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рекламы.</w:t>
      </w:r>
    </w:p>
    <w:p w14:paraId="4782CC68" w14:textId="0AECACEC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79.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ролики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предоставляются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сроки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учетом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технических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условий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(включая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громкость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звука),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согласованных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сторонами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договоре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рекламы.</w:t>
      </w:r>
    </w:p>
    <w:p w14:paraId="7FE88ADE" w14:textId="097055D3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80.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правило,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группируется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виде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роликов.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блоки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отдельно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форм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коммерческой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коммуникации,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сопровождаемых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начале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помощи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визуальной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акустической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пометки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„Electorala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20__”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(«Выборы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–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20__»).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транслируемый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ролик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должен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содержать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элементы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идентификации,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установленные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политической,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сообщений,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интерес,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ЦИК.</w:t>
      </w:r>
    </w:p>
    <w:p w14:paraId="172465BB" w14:textId="6AADB0B3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может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включаться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другие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характера,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информационные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(новостные)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издания,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спортивные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детей,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религиозной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тематикой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передачи,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посвященные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национальным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меньшинствам.</w:t>
      </w:r>
    </w:p>
    <w:p w14:paraId="6A5F6CCE" w14:textId="5552409A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Объем/продолжительность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входит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лимит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коммерческой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рекламы.</w:t>
      </w:r>
    </w:p>
    <w:p w14:paraId="69DE0BAD" w14:textId="327DCD60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обеспечить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конфиденциальность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содержания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представленной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трансляции.</w:t>
      </w:r>
    </w:p>
    <w:p w14:paraId="0672DAD2" w14:textId="73755794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Ведущие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новостей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модераторы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дебатов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озвучивать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ролики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могут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появляться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роликах.</w:t>
      </w:r>
    </w:p>
    <w:p w14:paraId="7F415E23" w14:textId="3E1F2E92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транслирование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коммерческой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нескольких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вступает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силу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регистрации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коммерческой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качестве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референдума.</w:t>
      </w:r>
    </w:p>
    <w:p w14:paraId="09C5593B" w14:textId="15FAFB28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трансляция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спонсируемых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Запрет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вступает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силу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регистрации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спонсора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качестве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референдума.</w:t>
      </w:r>
    </w:p>
    <w:p w14:paraId="72FCF14A" w14:textId="485B81E6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Содержание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самопродвижению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соответствовать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справедливости,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сбалансированности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непредвзятости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отражаться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программ.</w:t>
      </w:r>
    </w:p>
    <w:p w14:paraId="6CC1A14F" w14:textId="47C2F487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88.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более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двух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минут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ежедневно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медиауслуги.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Продолжительность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ролика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характера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менее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30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секунд.</w:t>
      </w:r>
    </w:p>
    <w:p w14:paraId="5B565699" w14:textId="76E9E134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89.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предоставленное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трансляции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использованное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возмещается.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Плата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нераспространенную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возмещается.</w:t>
      </w:r>
    </w:p>
    <w:p w14:paraId="1A451203" w14:textId="655E4659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90.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Эфирное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предоставленное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трансляции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использованное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вине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перепрограммируется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ближайшее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письменным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уведомлением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дате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времени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перепрограммирования.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невозможности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перепрограммирования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плата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нераспространенную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возвращается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если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предусмотрено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договором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рекламы.</w:t>
      </w:r>
    </w:p>
    <w:p w14:paraId="66D0BC2D" w14:textId="136AAA40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91.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хранить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оригинал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копии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роликов,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включая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внесенные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впоследствии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изменения,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одного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последнего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рекламы.</w:t>
      </w:r>
    </w:p>
    <w:p w14:paraId="70D0084D" w14:textId="2DEB1127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92.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Требования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содержанию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рамках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обязательны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для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печатной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прессе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онлайновой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размещаемой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медиауслуг.</w:t>
      </w:r>
    </w:p>
    <w:p w14:paraId="0ACCF038" w14:textId="77777777" w:rsidR="00AE2A91" w:rsidRPr="00FF4D87" w:rsidRDefault="00AE2A91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A1B7C59" w14:textId="28ACA222" w:rsidR="004C09F5" w:rsidRPr="00FF4D87" w:rsidRDefault="00DC55AA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09F5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15240A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1D461F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Мониторинг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контроль</w:t>
      </w:r>
    </w:p>
    <w:p w14:paraId="0B7E53B4" w14:textId="77777777" w:rsidR="004C09F5" w:rsidRPr="00FF4D87" w:rsidRDefault="004C09F5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6DC3FADA" w14:textId="561B63D1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93.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Способ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собственных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обязательств,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взятых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посредством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контролируется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</w:p>
    <w:p w14:paraId="127B790E" w14:textId="0454F5AF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94.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осуществляет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мониторинг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приоритетном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новостных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специализированным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учреждением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исследованиям,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наибольшую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аудитории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трех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месяцев,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предшествующих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месяцу,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назначена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дата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зависимости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технических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возможностей,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может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дополнительно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проводить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мониторинг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новостных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списка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«must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carry»,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также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последнего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года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деятельности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подверглись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санкциям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нарушение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принципов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аудиовизуальной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коммуникации.</w:t>
      </w:r>
    </w:p>
    <w:p w14:paraId="25DFCB4E" w14:textId="24AC7AE0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95.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мониторинге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публикуются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отношении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осуществлялся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мониторинг,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позднее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следующего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результатов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мониторинга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публичном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заседании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</w:p>
    <w:p w14:paraId="1587322D" w14:textId="421B7BE2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96.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еженедельно,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понедельникам,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образцу,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утвержденному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представляется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порядок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соблюдения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случае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наличия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отклонений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декларации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редакционной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политике,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они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должны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быть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отражены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еженедельном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соответствующими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уточнениями.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анализирует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необходимости,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обсуждает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еженедельные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часть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ходе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публичного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заседания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принимает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решения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результатам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проведенного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анализа.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Еженедельные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публикуются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публикует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еженедельные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своей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официальной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веб-странице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день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СТР.</w:t>
      </w:r>
    </w:p>
    <w:p w14:paraId="7E9C9CB8" w14:textId="29A9FF93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>97.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освещают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обязаны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еженедельно,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понедельникам,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том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числе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после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дня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выборов,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представлять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содержащий,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минимум,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следующую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информацию:</w:t>
      </w:r>
    </w:p>
    <w:p w14:paraId="59353DC5" w14:textId="07C0F830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объем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вещания,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отведенный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информационные,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мотивационные,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просвещению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сфере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ролики,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разработанные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имеющие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положительное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заключение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ЦИК;</w:t>
      </w:r>
    </w:p>
    <w:p w14:paraId="6A8FA361" w14:textId="36D9547C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данные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тех,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кто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проводит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общественного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отношении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политических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предпочтений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избирателей,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опросы,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которых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поставщик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медиауслуг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информировал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периода;</w:t>
      </w:r>
    </w:p>
    <w:p w14:paraId="237BA0E6" w14:textId="29C67311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3)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доходы,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полученные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распространения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предвыборной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рекламы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течение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периода;</w:t>
      </w:r>
    </w:p>
    <w:p w14:paraId="58D8572B" w14:textId="2EE764A7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4)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обстоятельствам,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доходы,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полученные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оказания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сопутствующих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(специализированных)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услуг,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предлагаемых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каждому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конкуренту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на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выборах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или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участнику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референдума.</w:t>
      </w:r>
    </w:p>
    <w:p w14:paraId="7E94EEA0" w14:textId="14372B97" w:rsidR="00106802" w:rsidRPr="00106802" w:rsidRDefault="00106802" w:rsidP="0010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98.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избирательный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период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СТР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представляет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отчеты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мониторинге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ЦИК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в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соответствии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положениями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ч.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(16)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ст.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90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Избирательного</w:t>
      </w:r>
      <w:r w:rsidR="00FF4D87" w:rsidRPr="00FF4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106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кодекса.</w:t>
      </w:r>
    </w:p>
    <w:p w14:paraId="76EA1D74" w14:textId="77777777" w:rsidR="007064B0" w:rsidRPr="00FF4D87" w:rsidRDefault="007064B0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E78CFC6" w14:textId="586EB858" w:rsidR="008D6748" w:rsidRPr="00FF4D87" w:rsidRDefault="00DC55AA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6748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="0015240A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8D6748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Право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реплику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A0446"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обжалование</w:t>
      </w:r>
    </w:p>
    <w:p w14:paraId="4BC7A73C" w14:textId="77777777" w:rsidR="008D6748" w:rsidRPr="00FF4D87" w:rsidRDefault="008D6748" w:rsidP="00BB63C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6E776AE5" w14:textId="68DB0405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o-RO"/>
        </w:rPr>
      </w:pPr>
      <w:r w:rsidRPr="00FF4D87">
        <w:rPr>
          <w:color w:val="000000" w:themeColor="text1"/>
        </w:rPr>
        <w:t>99.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Любое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лицо,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независимо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места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пребывания,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законные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интересы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которого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ущемлены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результате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распространения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недостоверных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фактов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и/или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оценочных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суждений,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имеющих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собой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достаточной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фактической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основы,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рамках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редакционных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материалов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предвыборного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характера,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пользуется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реплику.</w:t>
      </w:r>
    </w:p>
    <w:p w14:paraId="764CC0CF" w14:textId="653B69D4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100.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Любое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лицо,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желающее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воспользоваться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подает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письменной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форме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местонахождению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электронной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почте,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заявление,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содержащее:</w:t>
      </w:r>
    </w:p>
    <w:p w14:paraId="798DBB82" w14:textId="3F5B6C27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фамилию/имя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запрашивающего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лица,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его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адрес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данные,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позволяющие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ним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связаться;</w:t>
      </w:r>
    </w:p>
    <w:p w14:paraId="4D5F633C" w14:textId="793B450E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2)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наименование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конкретный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редакционный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материал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(дата,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место,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время),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которым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был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нанесен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ущерб;</w:t>
      </w:r>
    </w:p>
    <w:p w14:paraId="5F6EDC1F" w14:textId="3434C9B3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3)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недостоверные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факты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и/или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оценочные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суждения,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имеющие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достаточного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фактического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основания,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отношении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которых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запрашивается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реплику;</w:t>
      </w:r>
    </w:p>
    <w:p w14:paraId="3AFF7D9C" w14:textId="3971454E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4)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мотивация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заявления;</w:t>
      </w:r>
    </w:p>
    <w:p w14:paraId="7682962C" w14:textId="51C6E69D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5)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реплики.</w:t>
      </w:r>
    </w:p>
    <w:p w14:paraId="0AC80149" w14:textId="0E179D07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101.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должен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касаться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только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оспариваемых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недостоверных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фактов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и/или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оценочных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суждений,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имеющих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собой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достаточной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фактической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основы,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излагаться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пристойным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языком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может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содержать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угроз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относящихся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делу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комментариев.</w:t>
      </w:r>
    </w:p>
    <w:p w14:paraId="35E60531" w14:textId="7EBB23C3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102.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Заявление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направляется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течение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двух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дней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момента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публикации</w:t>
      </w:r>
      <w:r w:rsidR="000A354C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/</w:t>
      </w:r>
      <w:r w:rsidR="000A354C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распространения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редакционного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материала,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которым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был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нанесен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ущерб.</w:t>
      </w:r>
    </w:p>
    <w:p w14:paraId="54620111" w14:textId="50BCDEC4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103.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обязано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зарегистрировать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заявление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указанием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даты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времени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получения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уведомить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этом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заявителя.</w:t>
      </w:r>
    </w:p>
    <w:p w14:paraId="4ECFC1F7" w14:textId="2930BBA3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104.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Если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принимает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решение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предоставлении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заявитель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течение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более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3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дней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после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подачи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заявления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уведомляется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письменной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форме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дате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зависимости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обстоятельств,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времени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публикации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трансляции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реплики.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Если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заявитель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является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конкурентом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выборах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участником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референдума,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предоставляется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позднее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пятницы,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предшествующей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дню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выборов.</w:t>
      </w:r>
    </w:p>
    <w:p w14:paraId="135103F0" w14:textId="0472A9D1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105.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публикуется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транслируется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бесплатно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равных</w:t>
      </w:r>
      <w:r w:rsidR="000A354C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/</w:t>
      </w:r>
      <w:r w:rsidR="000A354C">
        <w:rPr>
          <w:color w:val="000000" w:themeColor="text1"/>
        </w:rPr>
        <w:t xml:space="preserve"> </w:t>
      </w:r>
      <w:bookmarkStart w:id="0" w:name="_GoBack"/>
      <w:bookmarkEnd w:id="0"/>
      <w:r w:rsidRPr="00FF4D87">
        <w:rPr>
          <w:color w:val="000000" w:themeColor="text1"/>
        </w:rPr>
        <w:t>аналогичных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условиях,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которых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законные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интересы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заявителя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ущемлены.</w:t>
      </w:r>
    </w:p>
    <w:p w14:paraId="2610D48C" w14:textId="4DBBA3C9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106.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Применительно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учреждениям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печатных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равными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условиями,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предусмотренными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пунктом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104,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подразумеваются:</w:t>
      </w:r>
    </w:p>
    <w:p w14:paraId="6EB6C7D6" w14:textId="51429F40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lastRenderedPageBreak/>
        <w:t>1)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страница;</w:t>
      </w:r>
    </w:p>
    <w:p w14:paraId="751D59CB" w14:textId="7E422ABC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2)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место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странице;</w:t>
      </w:r>
    </w:p>
    <w:p w14:paraId="020AC719" w14:textId="26C2E46C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3)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объем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текста;</w:t>
      </w:r>
    </w:p>
    <w:p w14:paraId="7284B16B" w14:textId="709C84D2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4)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размер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шрифта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текста.</w:t>
      </w:r>
    </w:p>
    <w:p w14:paraId="67973D92" w14:textId="05E80C3F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107.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Применительно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аудиовизуальным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медиауслугам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равными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условиями,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предусмотренными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пунктом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104,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подразумеваются:</w:t>
      </w:r>
    </w:p>
    <w:p w14:paraId="302209F1" w14:textId="5F01F529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аудиовизуальная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медиауслуга;</w:t>
      </w:r>
    </w:p>
    <w:p w14:paraId="24E43EB7" w14:textId="5FB5CDAE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2)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интервал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времени;</w:t>
      </w:r>
    </w:p>
    <w:p w14:paraId="6346B5FD" w14:textId="60B24285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3)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аудиовизуальная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программа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цикл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аудиовизуальных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программ;</w:t>
      </w:r>
    </w:p>
    <w:p w14:paraId="2AC09E00" w14:textId="2A101A2F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4)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объем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длина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текста.</w:t>
      </w:r>
    </w:p>
    <w:p w14:paraId="3A7A3FD7" w14:textId="7F21A686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108.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аналогичными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условиями,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предусмотренными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пункте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104,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подразумеваются,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зависимости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обстоятельств:</w:t>
      </w:r>
    </w:p>
    <w:p w14:paraId="7EEFECC6" w14:textId="20CA8517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размещение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видном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месте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официальной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веб-странице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счет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другом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периодическом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издании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сопоставимым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тиражом;</w:t>
      </w:r>
    </w:p>
    <w:p w14:paraId="555B67AE" w14:textId="5E77F1CB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2)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размещение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главном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информационном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издании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дня.</w:t>
      </w:r>
    </w:p>
    <w:p w14:paraId="2EA572E0" w14:textId="2377225D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109.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Публикация/трансляция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сопровождается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указанием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обстоятельств,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которых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был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нанесен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ущерб.</w:t>
      </w:r>
    </w:p>
    <w:p w14:paraId="1C34CE19" w14:textId="7571BC4D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110.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Предоставление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препятствует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лицу,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законные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интересы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которого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ущемлены,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обращаться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суд.</w:t>
      </w:r>
    </w:p>
    <w:p w14:paraId="30D35CF1" w14:textId="1709B332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111.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может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затребовано:</w:t>
      </w:r>
    </w:p>
    <w:p w14:paraId="37A14472" w14:textId="6459B63E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отношении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оценочных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суждений;</w:t>
      </w:r>
    </w:p>
    <w:p w14:paraId="40CB9A69" w14:textId="6DF3F587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2)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ситуации,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когда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соблюдает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принцип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audiatur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et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altera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pars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недискриминационных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условиях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изложения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рамках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одного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редакционного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материала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предвыборного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характера;</w:t>
      </w:r>
    </w:p>
    <w:p w14:paraId="5DEF958B" w14:textId="4C37BEAB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3)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ситуации,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когда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смогло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соблюсти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принцип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audiatur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et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altera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pars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из-за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того,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что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одна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из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сторон,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зависимости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обстоятельств,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заявитель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отказался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изложить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свое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мнение/позицию;</w:t>
      </w:r>
    </w:p>
    <w:p w14:paraId="4B48E8CF" w14:textId="6E805D8D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4)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случае,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если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просят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реплику;</w:t>
      </w:r>
    </w:p>
    <w:p w14:paraId="47183BF1" w14:textId="0C931E2C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5)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случае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ответа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обвинения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лица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условии,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что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это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затрагивает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законных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интересов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третьего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лица.</w:t>
      </w:r>
    </w:p>
    <w:p w14:paraId="07C0783A" w14:textId="4956A35C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112.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может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отказать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предоставлении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одной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из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следующих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ситуаций:</w:t>
      </w:r>
    </w:p>
    <w:p w14:paraId="7DD0FD38" w14:textId="6635CA1D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заявление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подано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после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предусмотренного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для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этого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срока;</w:t>
      </w:r>
    </w:p>
    <w:p w14:paraId="558F375E" w14:textId="33333ADD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2)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соответствует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условиям,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установленным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пунктом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100;</w:t>
      </w:r>
    </w:p>
    <w:p w14:paraId="724BEBE2" w14:textId="0191E144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3)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объем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соответствует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условиям,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равным/аналогичным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тем,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которых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ущемлены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законные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интересы,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заявитель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принимает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исправление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текста;</w:t>
      </w:r>
    </w:p>
    <w:p w14:paraId="65A53C07" w14:textId="4B628CBB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4)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имеет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доказательства,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подтверждающие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достоверность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опубликованных/транслированных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оспариваемых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фактов/информации.</w:t>
      </w:r>
    </w:p>
    <w:p w14:paraId="0EFCCD5C" w14:textId="0603C337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113.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случае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отказа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учреждения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средства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массовой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информации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предоставлении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заявителю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реплику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срок,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предусмотренный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пунктом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103,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ему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сообщается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письменной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форме:</w:t>
      </w:r>
    </w:p>
    <w:p w14:paraId="135EFCB8" w14:textId="0EE4932C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решение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отказе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причина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отказа;</w:t>
      </w:r>
    </w:p>
    <w:p w14:paraId="3E11DE75" w14:textId="7205D714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2)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возможность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обжаловать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решение,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зависимости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обстоятельств,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суде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СТР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течение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3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дней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после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принятия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решения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отказе;</w:t>
      </w:r>
    </w:p>
    <w:p w14:paraId="4E901082" w14:textId="65A2D1D2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3)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случае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поставщика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медиауслуг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адрес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данные,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которым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заявитель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может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связаться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СТР.</w:t>
      </w:r>
    </w:p>
    <w:p w14:paraId="07D63B8C" w14:textId="433C6B70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114.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Жалобы,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касающиеся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освещения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выборов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поставщиками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медиауслуг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рассматриваются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СТР,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отношении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освещения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выборов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печатными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интернет-СМИ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–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судом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срок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более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3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дней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момента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регистрации.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обоснованным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причинам,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связанным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сложностью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предмета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жалобы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и/или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поведением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ее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субъектов,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трехдневный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lastRenderedPageBreak/>
        <w:t>срок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может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быть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продлен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более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чем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дня.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Такое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продление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вступает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силу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только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случае,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если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было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сообщено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письменной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форме,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числе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электронной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почте,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участникам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процедуры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рассмотрения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спора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самое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позднее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последний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день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истечения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установленного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первоначально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срока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рассмотрения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указанием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причин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продления.</w:t>
      </w:r>
    </w:p>
    <w:p w14:paraId="40B7280D" w14:textId="16DB3400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115.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случае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жалоб,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касающихся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освещения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выборов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поставщиками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медиауслуг,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СТР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принимает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решения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и/или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налагает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соответствующие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санкции.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Решения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СТР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подлежат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исполнению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момента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принятия,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исключением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случаев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приостановления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их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исполнения.</w:t>
      </w:r>
    </w:p>
    <w:p w14:paraId="4D884B6C" w14:textId="666342C1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116.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Поданные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избирательный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период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жалобы,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касающиеся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гарантии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реализации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свободу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выражения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мнения,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также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баланса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между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обеспечением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права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свободу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выражения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мнения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защитой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чести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достоинства,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деловой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репутации,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частной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семейной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жизни,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рассматриваются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судебными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инстанциями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общей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юрисдикции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соответствии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Законом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№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64/2010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о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свободе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выражения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мнения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трехдневный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срок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момента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подачи.</w:t>
      </w:r>
    </w:p>
    <w:p w14:paraId="00C239C4" w14:textId="1B1E8D72" w:rsidR="00106802" w:rsidRPr="00FF4D87" w:rsidRDefault="00106802" w:rsidP="001068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117.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Жалобы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на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действия/бездействие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и/или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решения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СТР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разрешаются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в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первой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инстанции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Апелляционной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палатой</w:t>
      </w:r>
      <w:r w:rsidR="00FF4D87" w:rsidRPr="00FF4D87">
        <w:rPr>
          <w:color w:val="000000" w:themeColor="text1"/>
        </w:rPr>
        <w:t xml:space="preserve"> </w:t>
      </w:r>
      <w:r w:rsidRPr="00FF4D87">
        <w:rPr>
          <w:color w:val="000000" w:themeColor="text1"/>
        </w:rPr>
        <w:t>Кишинэу.</w:t>
      </w:r>
    </w:p>
    <w:p w14:paraId="31A61E03" w14:textId="77777777" w:rsidR="008D6748" w:rsidRPr="00FF4D87" w:rsidRDefault="008D6748" w:rsidP="00BB63CC">
      <w:pPr>
        <w:pStyle w:val="Listparagraf"/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A39D2" w14:textId="43E141AA" w:rsidR="008D6748" w:rsidRPr="00FF4D87" w:rsidRDefault="00DC55AA" w:rsidP="00BB63CC">
      <w:pPr>
        <w:pStyle w:val="Listparagraf"/>
        <w:tabs>
          <w:tab w:val="left" w:pos="90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D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6748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15240A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8D6748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F4D87" w:rsidRPr="00FF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45FE" w:rsidRPr="00FF4D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Специальные</w:t>
      </w:r>
      <w:r w:rsidR="00FF4D87" w:rsidRPr="00FF4D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45FE" w:rsidRPr="00FF4D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положения</w:t>
      </w:r>
    </w:p>
    <w:p w14:paraId="6AE91A3C" w14:textId="77777777" w:rsidR="008D6748" w:rsidRPr="00FF4D87" w:rsidRDefault="008D6748" w:rsidP="00BB63CC">
      <w:pPr>
        <w:pStyle w:val="Listparagraf"/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3EE5258F" w14:textId="701EF2F5" w:rsidR="00FF4D87" w:rsidRPr="00FF4D87" w:rsidRDefault="00FF4D87" w:rsidP="00FF4D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o-RO"/>
        </w:rPr>
      </w:pPr>
      <w:r w:rsidRPr="00FF4D87">
        <w:rPr>
          <w:color w:val="000000" w:themeColor="text1"/>
        </w:rPr>
        <w:t xml:space="preserve">118. Предвыборная агитация через средства массовой информации допускается только до пятницы, предшествующей дню голосования. </w:t>
      </w:r>
    </w:p>
    <w:p w14:paraId="77DEC7B2" w14:textId="1815A95D" w:rsidR="00FF4D87" w:rsidRPr="00FF4D87" w:rsidRDefault="00FF4D87" w:rsidP="00FF4D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119. В избирательный период СТР, ЦИК и (или) окружные избирательные советы имеют право обращаться с письменным запросом к учреждениям средств массовой информации любой информации, связанной с освещением выборов. Учреждения средств массовой информации обязаны предоставлять информацию в порядке/формате и в сроки, указанные в запросе.</w:t>
      </w:r>
    </w:p>
    <w:p w14:paraId="389FF552" w14:textId="3D98C3BB" w:rsidR="00FF4D87" w:rsidRPr="00FF4D87" w:rsidRDefault="00FF4D87" w:rsidP="00FF4D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120. Поставщики медиауслуг обязаны хранить аудиовизуальные программы предвыборного характера, за исключением программ предвыборной рекламы, в течение 3 месяцев со дня их распространения. В случае возникновения судебного разбирательства срок хранения продлевается по решению суда.</w:t>
      </w:r>
    </w:p>
    <w:p w14:paraId="6B9315CA" w14:textId="5359D80B" w:rsidR="00FF4D87" w:rsidRPr="00FF4D87" w:rsidRDefault="00FF4D87" w:rsidP="00FF4D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121. В избирательный период средства массовой информации могут консультироваться с ЦИК и СТР по всем правовым аспектам освещения выборов с учетом того, что:</w:t>
      </w:r>
    </w:p>
    <w:p w14:paraId="04B7DFC5" w14:textId="5139978A" w:rsidR="00FF4D87" w:rsidRPr="00FF4D87" w:rsidRDefault="00FF4D87" w:rsidP="00FF4D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1) ЦИК и СТР могут объяснить, уточнить, конкретизировать и т.д. отдельные нормы законодательства, но не наделены полномочием толковать нормы законодательства;</w:t>
      </w:r>
    </w:p>
    <w:p w14:paraId="1D1045EF" w14:textId="63D7E283" w:rsidR="00FF4D87" w:rsidRPr="00FF4D87" w:rsidRDefault="00FF4D87" w:rsidP="00FF4D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F4D87">
        <w:rPr>
          <w:color w:val="000000" w:themeColor="text1"/>
        </w:rPr>
        <w:t>2) всю ответственность за редакционные материалы предвыборного характера, публикуемые/транслируемые, несут учреждения средств массовой информации.</w:t>
      </w:r>
    </w:p>
    <w:sectPr w:rsidR="00FF4D87" w:rsidRPr="00FF4D87" w:rsidSect="000D07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C1342"/>
    <w:multiLevelType w:val="hybridMultilevel"/>
    <w:tmpl w:val="AACA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F05"/>
    <w:multiLevelType w:val="hybridMultilevel"/>
    <w:tmpl w:val="A236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021"/>
    <w:multiLevelType w:val="hybridMultilevel"/>
    <w:tmpl w:val="51DE1ACC"/>
    <w:lvl w:ilvl="0" w:tplc="59546F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669D"/>
    <w:multiLevelType w:val="hybridMultilevel"/>
    <w:tmpl w:val="3C2E158A"/>
    <w:lvl w:ilvl="0" w:tplc="A6082F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C55D9"/>
    <w:multiLevelType w:val="hybridMultilevel"/>
    <w:tmpl w:val="AACA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94"/>
    <w:rsid w:val="00024F12"/>
    <w:rsid w:val="00026AA1"/>
    <w:rsid w:val="0003216D"/>
    <w:rsid w:val="00036514"/>
    <w:rsid w:val="00043583"/>
    <w:rsid w:val="00053A69"/>
    <w:rsid w:val="00055091"/>
    <w:rsid w:val="00060783"/>
    <w:rsid w:val="00074FF5"/>
    <w:rsid w:val="00075060"/>
    <w:rsid w:val="00082843"/>
    <w:rsid w:val="000A354C"/>
    <w:rsid w:val="000D07A3"/>
    <w:rsid w:val="000D2DF7"/>
    <w:rsid w:val="000E2022"/>
    <w:rsid w:val="0010011F"/>
    <w:rsid w:val="00106802"/>
    <w:rsid w:val="0010705B"/>
    <w:rsid w:val="00127EED"/>
    <w:rsid w:val="0015240A"/>
    <w:rsid w:val="001527B5"/>
    <w:rsid w:val="0017243B"/>
    <w:rsid w:val="0018056C"/>
    <w:rsid w:val="00193BD1"/>
    <w:rsid w:val="00196C07"/>
    <w:rsid w:val="001A02A4"/>
    <w:rsid w:val="001B3B1E"/>
    <w:rsid w:val="001C17F4"/>
    <w:rsid w:val="001D461F"/>
    <w:rsid w:val="001D51C9"/>
    <w:rsid w:val="001F07E4"/>
    <w:rsid w:val="001F6AA3"/>
    <w:rsid w:val="00201263"/>
    <w:rsid w:val="00205076"/>
    <w:rsid w:val="00212B02"/>
    <w:rsid w:val="002469A7"/>
    <w:rsid w:val="00273C70"/>
    <w:rsid w:val="002770DD"/>
    <w:rsid w:val="002970FF"/>
    <w:rsid w:val="002A0867"/>
    <w:rsid w:val="002A3CE3"/>
    <w:rsid w:val="002C45FE"/>
    <w:rsid w:val="002E4536"/>
    <w:rsid w:val="002E525C"/>
    <w:rsid w:val="00301051"/>
    <w:rsid w:val="00323088"/>
    <w:rsid w:val="00326F88"/>
    <w:rsid w:val="003601AD"/>
    <w:rsid w:val="00364CE1"/>
    <w:rsid w:val="00365CAE"/>
    <w:rsid w:val="0037641F"/>
    <w:rsid w:val="003B6E45"/>
    <w:rsid w:val="003C3495"/>
    <w:rsid w:val="003D2365"/>
    <w:rsid w:val="003E025E"/>
    <w:rsid w:val="003E6FA5"/>
    <w:rsid w:val="00402897"/>
    <w:rsid w:val="00443BA5"/>
    <w:rsid w:val="00453B07"/>
    <w:rsid w:val="00454362"/>
    <w:rsid w:val="00455C29"/>
    <w:rsid w:val="00472CDF"/>
    <w:rsid w:val="00476A50"/>
    <w:rsid w:val="00490290"/>
    <w:rsid w:val="004A037D"/>
    <w:rsid w:val="004A0446"/>
    <w:rsid w:val="004A05BD"/>
    <w:rsid w:val="004C09F5"/>
    <w:rsid w:val="004C78C9"/>
    <w:rsid w:val="004E2050"/>
    <w:rsid w:val="00507220"/>
    <w:rsid w:val="005129C7"/>
    <w:rsid w:val="00531AE9"/>
    <w:rsid w:val="00545AF5"/>
    <w:rsid w:val="00556CAD"/>
    <w:rsid w:val="005726EA"/>
    <w:rsid w:val="0057295E"/>
    <w:rsid w:val="00583096"/>
    <w:rsid w:val="005D56B5"/>
    <w:rsid w:val="005E291E"/>
    <w:rsid w:val="005F0A27"/>
    <w:rsid w:val="00606483"/>
    <w:rsid w:val="00652861"/>
    <w:rsid w:val="00665F54"/>
    <w:rsid w:val="006A1C98"/>
    <w:rsid w:val="006B72E4"/>
    <w:rsid w:val="006D48DA"/>
    <w:rsid w:val="006D7428"/>
    <w:rsid w:val="006E44EA"/>
    <w:rsid w:val="006F6A24"/>
    <w:rsid w:val="007064B0"/>
    <w:rsid w:val="00712ACE"/>
    <w:rsid w:val="00713D57"/>
    <w:rsid w:val="007249C8"/>
    <w:rsid w:val="00731298"/>
    <w:rsid w:val="00741C5A"/>
    <w:rsid w:val="00770316"/>
    <w:rsid w:val="0079716E"/>
    <w:rsid w:val="007B126D"/>
    <w:rsid w:val="007B20AB"/>
    <w:rsid w:val="007C665A"/>
    <w:rsid w:val="007D1532"/>
    <w:rsid w:val="00832505"/>
    <w:rsid w:val="00832E59"/>
    <w:rsid w:val="008430D5"/>
    <w:rsid w:val="00861FBB"/>
    <w:rsid w:val="00865E0B"/>
    <w:rsid w:val="00880E71"/>
    <w:rsid w:val="00896D51"/>
    <w:rsid w:val="008A237E"/>
    <w:rsid w:val="008D6748"/>
    <w:rsid w:val="008E111B"/>
    <w:rsid w:val="008E4EB9"/>
    <w:rsid w:val="009237BA"/>
    <w:rsid w:val="00932F28"/>
    <w:rsid w:val="00945884"/>
    <w:rsid w:val="009626A5"/>
    <w:rsid w:val="009668E4"/>
    <w:rsid w:val="009708A6"/>
    <w:rsid w:val="00972832"/>
    <w:rsid w:val="00975821"/>
    <w:rsid w:val="00983C13"/>
    <w:rsid w:val="009A2DB5"/>
    <w:rsid w:val="009D3DC7"/>
    <w:rsid w:val="009E51F0"/>
    <w:rsid w:val="00A70341"/>
    <w:rsid w:val="00A93C20"/>
    <w:rsid w:val="00AA25C1"/>
    <w:rsid w:val="00AA6E8A"/>
    <w:rsid w:val="00AE2A91"/>
    <w:rsid w:val="00AF55C4"/>
    <w:rsid w:val="00AF5B69"/>
    <w:rsid w:val="00B01BD5"/>
    <w:rsid w:val="00B117A5"/>
    <w:rsid w:val="00B15876"/>
    <w:rsid w:val="00B30272"/>
    <w:rsid w:val="00B30A3B"/>
    <w:rsid w:val="00B42A7B"/>
    <w:rsid w:val="00B448D4"/>
    <w:rsid w:val="00B558D1"/>
    <w:rsid w:val="00B662E2"/>
    <w:rsid w:val="00B724A2"/>
    <w:rsid w:val="00B814D7"/>
    <w:rsid w:val="00B911B9"/>
    <w:rsid w:val="00BB06A0"/>
    <w:rsid w:val="00BB63CC"/>
    <w:rsid w:val="00C075BC"/>
    <w:rsid w:val="00C3110D"/>
    <w:rsid w:val="00C32887"/>
    <w:rsid w:val="00C410F1"/>
    <w:rsid w:val="00C47D75"/>
    <w:rsid w:val="00C63C9E"/>
    <w:rsid w:val="00C70048"/>
    <w:rsid w:val="00C8022F"/>
    <w:rsid w:val="00C9295A"/>
    <w:rsid w:val="00CA2FF9"/>
    <w:rsid w:val="00CB707E"/>
    <w:rsid w:val="00CD061F"/>
    <w:rsid w:val="00D066D9"/>
    <w:rsid w:val="00D131CF"/>
    <w:rsid w:val="00D16C56"/>
    <w:rsid w:val="00D2001A"/>
    <w:rsid w:val="00D31745"/>
    <w:rsid w:val="00D836F4"/>
    <w:rsid w:val="00D841CD"/>
    <w:rsid w:val="00D944B7"/>
    <w:rsid w:val="00DA6E35"/>
    <w:rsid w:val="00DC55AA"/>
    <w:rsid w:val="00DE642C"/>
    <w:rsid w:val="00E20ECC"/>
    <w:rsid w:val="00E24D26"/>
    <w:rsid w:val="00E36095"/>
    <w:rsid w:val="00E44DAC"/>
    <w:rsid w:val="00E5397F"/>
    <w:rsid w:val="00EA3D94"/>
    <w:rsid w:val="00F0550D"/>
    <w:rsid w:val="00F07B50"/>
    <w:rsid w:val="00F41596"/>
    <w:rsid w:val="00F41DDB"/>
    <w:rsid w:val="00F52EA9"/>
    <w:rsid w:val="00F56760"/>
    <w:rsid w:val="00F66ABA"/>
    <w:rsid w:val="00F82F21"/>
    <w:rsid w:val="00F9357F"/>
    <w:rsid w:val="00FA5BA5"/>
    <w:rsid w:val="00FD513F"/>
    <w:rsid w:val="00FF1130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BEC8"/>
  <w15:chartTrackingRefBased/>
  <w15:docId w15:val="{B8AA2A2E-0F24-4F44-B63C-43D8BEE3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2F21"/>
    <w:pPr>
      <w:ind w:left="720"/>
      <w:contextualSpacing/>
    </w:pPr>
  </w:style>
  <w:style w:type="character" w:customStyle="1" w:styleId="fontstyle01">
    <w:name w:val="fontstyle01"/>
    <w:basedOn w:val="Fontdeparagrafimplicit"/>
    <w:rsid w:val="00F82F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style21"/>
    <w:basedOn w:val="Fontdeparagrafimplicit"/>
    <w:rsid w:val="00082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26A5"/>
    <w:rPr>
      <w:rFonts w:ascii="Segoe UI" w:hAnsi="Segoe UI" w:cs="Segoe UI"/>
      <w:sz w:val="18"/>
      <w:szCs w:val="18"/>
      <w:lang w:val="ro-MD"/>
    </w:rPr>
  </w:style>
  <w:style w:type="character" w:styleId="Referincomentariu">
    <w:name w:val="annotation reference"/>
    <w:basedOn w:val="Fontdeparagrafimplicit"/>
    <w:uiPriority w:val="99"/>
    <w:semiHidden/>
    <w:unhideWhenUsed/>
    <w:rsid w:val="00D3174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3174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31745"/>
    <w:rPr>
      <w:sz w:val="20"/>
      <w:szCs w:val="20"/>
      <w:lang w:val="ro-MD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3174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31745"/>
    <w:rPr>
      <w:b/>
      <w:bCs/>
      <w:sz w:val="20"/>
      <w:szCs w:val="20"/>
      <w:lang w:val="ro-MD"/>
    </w:rPr>
  </w:style>
  <w:style w:type="paragraph" w:styleId="Frspaiere">
    <w:name w:val="No Spacing"/>
    <w:uiPriority w:val="1"/>
    <w:qFormat/>
    <w:rsid w:val="00365CAE"/>
    <w:pPr>
      <w:spacing w:after="0" w:line="240" w:lineRule="auto"/>
    </w:pPr>
    <w:rPr>
      <w:lang w:val="ro-RO"/>
    </w:rPr>
  </w:style>
  <w:style w:type="character" w:customStyle="1" w:styleId="rynqvb">
    <w:name w:val="rynqvb"/>
    <w:basedOn w:val="Fontdeparagrafimplicit"/>
    <w:rsid w:val="00D836F4"/>
  </w:style>
  <w:style w:type="character" w:customStyle="1" w:styleId="hwtze">
    <w:name w:val="hwtze"/>
    <w:basedOn w:val="Fontdeparagrafimplicit"/>
    <w:rsid w:val="00E24D26"/>
  </w:style>
  <w:style w:type="character" w:styleId="Accentuat">
    <w:name w:val="Emphasis"/>
    <w:basedOn w:val="Fontdeparagrafimplicit"/>
    <w:uiPriority w:val="20"/>
    <w:qFormat/>
    <w:rsid w:val="00896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BBFF-DCB6-4196-9D19-E194BBA8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14</Pages>
  <Words>6856</Words>
  <Characters>39771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Iana Coziriuc</cp:lastModifiedBy>
  <cp:revision>13</cp:revision>
  <cp:lastPrinted>2023-07-31T04:58:00Z</cp:lastPrinted>
  <dcterms:created xsi:type="dcterms:W3CDTF">2023-07-29T07:38:00Z</dcterms:created>
  <dcterms:modified xsi:type="dcterms:W3CDTF">2023-09-25T07:35:00Z</dcterms:modified>
</cp:coreProperties>
</file>