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8B6C4" w14:textId="4D257093" w:rsidR="00A330B3" w:rsidRPr="00D96A67" w:rsidRDefault="00F25395" w:rsidP="00D96A67">
      <w:pPr>
        <w:jc w:val="right"/>
        <w:rPr>
          <w:color w:val="000000" w:themeColor="text1"/>
        </w:rPr>
      </w:pPr>
      <w:r w:rsidRPr="00D96A67">
        <w:rPr>
          <w:color w:val="000000" w:themeColor="text1"/>
          <w:lang w:val="ru-RU"/>
        </w:rPr>
        <w:t>Утверждена</w:t>
      </w:r>
    </w:p>
    <w:p w14:paraId="07585F37" w14:textId="3B22DEDC" w:rsidR="00A330B3" w:rsidRPr="00D96A67" w:rsidRDefault="00F25395" w:rsidP="00D96A67">
      <w:pPr>
        <w:jc w:val="right"/>
        <w:rPr>
          <w:color w:val="000000" w:themeColor="text1"/>
        </w:rPr>
      </w:pPr>
      <w:r w:rsidRPr="00D96A67">
        <w:rPr>
          <w:color w:val="000000" w:themeColor="text1"/>
          <w:lang w:val="ru-RU"/>
        </w:rPr>
        <w:t>постановлением</w:t>
      </w:r>
      <w:r w:rsidR="00A330B3" w:rsidRPr="00D96A67">
        <w:rPr>
          <w:color w:val="000000" w:themeColor="text1"/>
        </w:rPr>
        <w:t xml:space="preserve"> </w:t>
      </w:r>
      <w:r w:rsidR="00B34D2C" w:rsidRPr="00D96A67">
        <w:rPr>
          <w:color w:val="000000" w:themeColor="text1"/>
          <w:lang w:val="ru-RU"/>
        </w:rPr>
        <w:t>Центральной избирательной комиссии</w:t>
      </w:r>
    </w:p>
    <w:p w14:paraId="64496492" w14:textId="20F93A0F" w:rsidR="00B43F94" w:rsidRPr="00D96A67" w:rsidRDefault="00B34D2C" w:rsidP="00D96A67">
      <w:pPr>
        <w:jc w:val="right"/>
        <w:rPr>
          <w:color w:val="000000" w:themeColor="text1"/>
          <w:lang w:val="ru-RU"/>
        </w:rPr>
      </w:pPr>
      <w:r w:rsidRPr="00D96A67">
        <w:rPr>
          <w:color w:val="000000" w:themeColor="text1"/>
          <w:lang w:val="ru-RU"/>
        </w:rPr>
        <w:t>№</w:t>
      </w:r>
      <w:r w:rsidR="000E43A1" w:rsidRPr="00D96A67">
        <w:rPr>
          <w:color w:val="000000" w:themeColor="text1"/>
        </w:rPr>
        <w:t xml:space="preserve"> 1212</w:t>
      </w:r>
      <w:r w:rsidR="00A330B3" w:rsidRPr="00D96A67">
        <w:rPr>
          <w:color w:val="000000" w:themeColor="text1"/>
        </w:rPr>
        <w:t xml:space="preserve"> </w:t>
      </w:r>
      <w:r w:rsidRPr="00D96A67">
        <w:rPr>
          <w:color w:val="000000" w:themeColor="text1"/>
          <w:lang w:val="ru-RU"/>
        </w:rPr>
        <w:t>от</w:t>
      </w:r>
      <w:r w:rsidR="00A330B3" w:rsidRPr="00D96A67">
        <w:rPr>
          <w:color w:val="000000" w:themeColor="text1"/>
        </w:rPr>
        <w:t xml:space="preserve"> </w:t>
      </w:r>
      <w:r w:rsidR="000E43A1" w:rsidRPr="00D96A67">
        <w:rPr>
          <w:color w:val="000000" w:themeColor="text1"/>
        </w:rPr>
        <w:t xml:space="preserve">6 </w:t>
      </w:r>
      <w:r w:rsidRPr="00D96A67">
        <w:rPr>
          <w:color w:val="000000" w:themeColor="text1"/>
          <w:lang w:val="ru-RU"/>
        </w:rPr>
        <w:t>сентября</w:t>
      </w:r>
      <w:r w:rsidR="00A330B3" w:rsidRPr="00D96A67">
        <w:rPr>
          <w:color w:val="000000" w:themeColor="text1"/>
        </w:rPr>
        <w:t xml:space="preserve"> 2023</w:t>
      </w:r>
      <w:r w:rsidR="00A330B3" w:rsidRPr="00D96A67" w:rsidDel="00A330B3">
        <w:rPr>
          <w:color w:val="000000" w:themeColor="text1"/>
        </w:rPr>
        <w:t xml:space="preserve"> </w:t>
      </w:r>
      <w:r w:rsidRPr="00D96A67">
        <w:rPr>
          <w:color w:val="000000" w:themeColor="text1"/>
          <w:lang w:val="ru-RU"/>
        </w:rPr>
        <w:t>г.</w:t>
      </w:r>
    </w:p>
    <w:p w14:paraId="600A412C" w14:textId="77777777" w:rsidR="00300E62" w:rsidRPr="00D96A67" w:rsidRDefault="00300E62" w:rsidP="00D96A67">
      <w:pPr>
        <w:jc w:val="both"/>
        <w:rPr>
          <w:color w:val="000000" w:themeColor="text1"/>
        </w:rPr>
      </w:pPr>
    </w:p>
    <w:p w14:paraId="5535562A" w14:textId="3E7177C9" w:rsidR="00F25395" w:rsidRPr="00D96A67" w:rsidRDefault="00F25395" w:rsidP="00D96A67">
      <w:pPr>
        <w:jc w:val="center"/>
        <w:rPr>
          <w:b/>
          <w:color w:val="000000" w:themeColor="text1"/>
          <w:lang w:val="ru-RU"/>
        </w:rPr>
      </w:pPr>
      <w:r w:rsidRPr="00D96A67">
        <w:rPr>
          <w:b/>
          <w:color w:val="000000" w:themeColor="text1"/>
        </w:rPr>
        <w:t>ИНСТРУКЦИ</w:t>
      </w:r>
      <w:r w:rsidRPr="00D96A67">
        <w:rPr>
          <w:b/>
          <w:color w:val="000000" w:themeColor="text1"/>
          <w:lang w:val="ru-RU"/>
        </w:rPr>
        <w:t>Я</w:t>
      </w:r>
    </w:p>
    <w:p w14:paraId="399C6E55" w14:textId="77777777" w:rsidR="00C40429" w:rsidRPr="00D96A67" w:rsidRDefault="00F25395" w:rsidP="00D96A67">
      <w:pPr>
        <w:jc w:val="center"/>
        <w:rPr>
          <w:b/>
          <w:color w:val="000000" w:themeColor="text1"/>
        </w:rPr>
      </w:pPr>
      <w:r w:rsidRPr="00D96A67">
        <w:rPr>
          <w:b/>
          <w:color w:val="000000" w:themeColor="text1"/>
        </w:rPr>
        <w:t>по утверждению образца</w:t>
      </w:r>
      <w:r w:rsidR="00C40429" w:rsidRPr="00D96A67">
        <w:rPr>
          <w:b/>
          <w:color w:val="000000" w:themeColor="text1"/>
        </w:rPr>
        <w:t xml:space="preserve"> бюллетеней для голосования,</w:t>
      </w:r>
    </w:p>
    <w:p w14:paraId="6BD47EF9" w14:textId="3665ADAA" w:rsidR="00B43F94" w:rsidRPr="00D96A67" w:rsidRDefault="00825327" w:rsidP="00D96A67">
      <w:pPr>
        <w:jc w:val="center"/>
        <w:rPr>
          <w:color w:val="000000" w:themeColor="text1"/>
        </w:rPr>
      </w:pPr>
      <w:r w:rsidRPr="00D96A67">
        <w:rPr>
          <w:b/>
          <w:color w:val="000000" w:themeColor="text1"/>
          <w:lang w:val="ru-RU"/>
        </w:rPr>
        <w:t>их печатанию</w:t>
      </w:r>
      <w:r w:rsidRPr="00D96A67">
        <w:rPr>
          <w:b/>
          <w:color w:val="000000" w:themeColor="text1"/>
        </w:rPr>
        <w:t>,</w:t>
      </w:r>
      <w:r w:rsidRPr="00D96A67">
        <w:rPr>
          <w:b/>
          <w:color w:val="000000" w:themeColor="text1"/>
          <w:lang w:val="ru-RU"/>
        </w:rPr>
        <w:t xml:space="preserve"> </w:t>
      </w:r>
      <w:r w:rsidRPr="00D96A67">
        <w:rPr>
          <w:b/>
          <w:color w:val="000000" w:themeColor="text1"/>
        </w:rPr>
        <w:t>передаче и хранени</w:t>
      </w:r>
      <w:r w:rsidRPr="00D96A67">
        <w:rPr>
          <w:b/>
          <w:color w:val="000000" w:themeColor="text1"/>
          <w:lang w:val="ru-RU"/>
        </w:rPr>
        <w:t>ю</w:t>
      </w:r>
    </w:p>
    <w:p w14:paraId="171A4700" w14:textId="77777777" w:rsidR="00F25395" w:rsidRPr="00D96A67" w:rsidRDefault="00F25395" w:rsidP="00D96A67">
      <w:pPr>
        <w:jc w:val="center"/>
        <w:rPr>
          <w:color w:val="000000" w:themeColor="text1"/>
        </w:rPr>
      </w:pPr>
    </w:p>
    <w:p w14:paraId="7CFFB30B" w14:textId="06536E41" w:rsidR="00B43F94" w:rsidRPr="00D96A67" w:rsidRDefault="00B34D2C" w:rsidP="00D96A67">
      <w:pPr>
        <w:jc w:val="center"/>
        <w:rPr>
          <w:color w:val="000000" w:themeColor="text1"/>
        </w:rPr>
      </w:pPr>
      <w:r w:rsidRPr="00D96A67">
        <w:rPr>
          <w:b/>
          <w:color w:val="000000" w:themeColor="text1"/>
          <w:lang w:val="ru-RU"/>
        </w:rPr>
        <w:t>Глава</w:t>
      </w:r>
      <w:r w:rsidR="00095F3B" w:rsidRPr="00D96A67">
        <w:rPr>
          <w:b/>
          <w:color w:val="000000" w:themeColor="text1"/>
        </w:rPr>
        <w:t xml:space="preserve"> I.</w:t>
      </w:r>
      <w:r w:rsidR="00275B81" w:rsidRPr="00D96A67">
        <w:rPr>
          <w:b/>
          <w:color w:val="000000" w:themeColor="text1"/>
        </w:rPr>
        <w:t xml:space="preserve"> </w:t>
      </w:r>
      <w:r w:rsidRPr="00D96A67">
        <w:rPr>
          <w:b/>
          <w:color w:val="000000" w:themeColor="text1"/>
          <w:lang w:val="ru-RU"/>
        </w:rPr>
        <w:t>Общие положения</w:t>
      </w:r>
    </w:p>
    <w:p w14:paraId="7884A720" w14:textId="77777777" w:rsidR="00B43F94" w:rsidRPr="00D96A67" w:rsidRDefault="00B43F94" w:rsidP="00D96A67">
      <w:pPr>
        <w:jc w:val="both"/>
        <w:rPr>
          <w:color w:val="000000" w:themeColor="text1"/>
        </w:rPr>
      </w:pPr>
    </w:p>
    <w:p w14:paraId="19E98872"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1. Настоящая инструкция устанавливает процедуру утверждения образца и текста бюллетеней для голосования, установления их тиража, их печатания, передачи и хранения.</w:t>
      </w:r>
    </w:p>
    <w:p w14:paraId="2F242C3F"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2. В случае одновременной организации нескольких видов голосования для каждого из них утверждаются образцы бюллетеней, различающиеся по цвету. Цвет бюллетеней для голосования устанавливается постановлением Центральной избирательной комиссии об утверждении образца или, в зависимости от обстоятельств, образцов бюллетеней для голосования.</w:t>
      </w:r>
    </w:p>
    <w:p w14:paraId="19C23485"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3. Бюллетени для голосования печатаются на румынском языке. Для отдельных населенных пунктов бюллетени могут быть напечатаны также на языках национальных меньшинств по запросу избирательных органов того округа, где проживает большинство представителей этих меньшинств. Бюллетени для голосования печатаются только в государственных типографиях.</w:t>
      </w:r>
    </w:p>
    <w:p w14:paraId="4A659EAB"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4. После получения списков избирателей, но не позднее чем за 20 дней до дня выборов, участковые избирательные бюро своим постановлением определяют для избирательных участков тираж бюллетеней для голосования согласно приложению № 9 к Положению о деятельности участкового избирательного бюро, утвержденному Постановлением Центральной избирательной комиссии № 1101/2023.</w:t>
      </w:r>
    </w:p>
    <w:p w14:paraId="3784E37C"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5. Избирательные советы определяют тираж бюллетеней для голосования по округу в течение не более двух дней со дня получения постановлений участковых избирательных бюро, предусмотренных в пункте 4, принимая соответствующие постановления по образцу, приведенному в приложении № 11 к Положению о деятельности окружного избирательного совета в избирательный период, утвержденному Постановлением Центральной избирательной комиссии № 1100/2023, и передает их Центральной избирательной комиссии сразу же после принятия.</w:t>
      </w:r>
    </w:p>
    <w:p w14:paraId="0017CBF7"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6. В отступление от положений пункта 5, в случае проведения местных выборов окружной избирательный совет первого уровня, который выполняет также функции участкового избирательного бюро в соответствии со ст. 158 Избирательного кодекса № 325/2022, принимает только постановление об определении тиража бюллетеней для голосования согласно приложению № 11 к Положению о деятельности окружного избирательного совета в избирательный период.</w:t>
      </w:r>
    </w:p>
    <w:p w14:paraId="697C159D" w14:textId="77777777" w:rsidR="00B43F94" w:rsidRPr="00D96A67" w:rsidRDefault="00B43F94" w:rsidP="00D96A67">
      <w:pPr>
        <w:widowControl w:val="0"/>
        <w:jc w:val="both"/>
        <w:rPr>
          <w:color w:val="000000" w:themeColor="text1"/>
        </w:rPr>
      </w:pPr>
    </w:p>
    <w:p w14:paraId="7955E03B" w14:textId="0534EC1D" w:rsidR="00B43F94" w:rsidRPr="00D96A67" w:rsidRDefault="00B34D2C" w:rsidP="00D96A67">
      <w:pPr>
        <w:pBdr>
          <w:top w:val="nil"/>
          <w:left w:val="nil"/>
          <w:bottom w:val="nil"/>
          <w:right w:val="nil"/>
          <w:between w:val="nil"/>
        </w:pBdr>
        <w:jc w:val="center"/>
        <w:rPr>
          <w:color w:val="000000" w:themeColor="text1"/>
        </w:rPr>
      </w:pPr>
      <w:r w:rsidRPr="00D96A67">
        <w:rPr>
          <w:b/>
          <w:color w:val="000000" w:themeColor="text1"/>
        </w:rPr>
        <w:t>Глава</w:t>
      </w:r>
      <w:r w:rsidR="00095F3B" w:rsidRPr="00D96A67">
        <w:rPr>
          <w:b/>
          <w:color w:val="000000" w:themeColor="text1"/>
        </w:rPr>
        <w:t xml:space="preserve"> II. </w:t>
      </w:r>
      <w:r w:rsidR="00D73739" w:rsidRPr="00D96A67">
        <w:rPr>
          <w:b/>
          <w:color w:val="000000" w:themeColor="text1"/>
        </w:rPr>
        <w:t>Утверждение образца и текста бюллетеней</w:t>
      </w:r>
      <w:r w:rsidR="00C25644" w:rsidRPr="00D96A67">
        <w:rPr>
          <w:b/>
          <w:color w:val="000000" w:themeColor="text1"/>
        </w:rPr>
        <w:t xml:space="preserve"> для голосования</w:t>
      </w:r>
    </w:p>
    <w:p w14:paraId="6E8826D9" w14:textId="77777777" w:rsidR="00B43F94" w:rsidRPr="00D96A67" w:rsidRDefault="00B43F94" w:rsidP="00D96A67">
      <w:pPr>
        <w:widowControl w:val="0"/>
        <w:pBdr>
          <w:top w:val="nil"/>
          <w:left w:val="nil"/>
          <w:bottom w:val="nil"/>
          <w:right w:val="nil"/>
          <w:between w:val="nil"/>
        </w:pBdr>
        <w:jc w:val="both"/>
        <w:rPr>
          <w:color w:val="000000" w:themeColor="text1"/>
        </w:rPr>
      </w:pPr>
    </w:p>
    <w:p w14:paraId="464F4EFF" w14:textId="77777777" w:rsidR="00C25644" w:rsidRPr="00D96A67" w:rsidRDefault="00B34D2C" w:rsidP="00D96A67">
      <w:pPr>
        <w:widowControl w:val="0"/>
        <w:pBdr>
          <w:top w:val="nil"/>
          <w:left w:val="nil"/>
          <w:bottom w:val="nil"/>
          <w:right w:val="nil"/>
          <w:between w:val="nil"/>
        </w:pBdr>
        <w:jc w:val="center"/>
        <w:rPr>
          <w:color w:val="000000" w:themeColor="text1"/>
        </w:rPr>
      </w:pPr>
      <w:r w:rsidRPr="00D96A67">
        <w:rPr>
          <w:b/>
          <w:i/>
          <w:color w:val="000000" w:themeColor="text1"/>
        </w:rPr>
        <w:t>Раздел</w:t>
      </w:r>
      <w:r w:rsidR="00095F3B" w:rsidRPr="00D96A67">
        <w:rPr>
          <w:b/>
          <w:i/>
          <w:color w:val="000000" w:themeColor="text1"/>
        </w:rPr>
        <w:t xml:space="preserve"> 1. </w:t>
      </w:r>
      <w:r w:rsidR="00C25644" w:rsidRPr="00D96A67">
        <w:rPr>
          <w:b/>
          <w:i/>
          <w:color w:val="000000" w:themeColor="text1"/>
        </w:rPr>
        <w:t>Утверждение образца и текста бюллетеней для голосования</w:t>
      </w:r>
    </w:p>
    <w:p w14:paraId="63DECB4A" w14:textId="05EE7097" w:rsidR="00B43F94" w:rsidRPr="00D96A67" w:rsidRDefault="00C25644" w:rsidP="00D96A67">
      <w:pPr>
        <w:widowControl w:val="0"/>
        <w:pBdr>
          <w:top w:val="nil"/>
          <w:left w:val="nil"/>
          <w:bottom w:val="nil"/>
          <w:right w:val="nil"/>
          <w:between w:val="nil"/>
        </w:pBdr>
        <w:jc w:val="center"/>
        <w:rPr>
          <w:color w:val="000000" w:themeColor="text1"/>
        </w:rPr>
      </w:pPr>
      <w:r w:rsidRPr="00D96A67">
        <w:rPr>
          <w:b/>
          <w:i/>
          <w:color w:val="000000" w:themeColor="text1"/>
        </w:rPr>
        <w:t>в случае проведения выборов</w:t>
      </w:r>
    </w:p>
    <w:p w14:paraId="7529C633" w14:textId="77777777" w:rsidR="00B43F94" w:rsidRPr="00D96A67" w:rsidRDefault="00B43F94" w:rsidP="00D96A67">
      <w:pPr>
        <w:widowControl w:val="0"/>
        <w:jc w:val="both"/>
        <w:rPr>
          <w:color w:val="000000" w:themeColor="text1"/>
        </w:rPr>
      </w:pPr>
    </w:p>
    <w:p w14:paraId="4D74D8C9"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7. После регистрации в избирательном органе конкуренты на выборах вносятся в бюллетень для голосования в порядке, определяемом по результатам жеребьевки, ежедневно проводимой соответствующим избирательным органом согласно ч. (2) ст. 73 Избирательного кодекса № 325/2022 и Положению о процедурах жеребьевки, утвержденному постановлением Центральной избирательной комиссии.</w:t>
      </w:r>
    </w:p>
    <w:p w14:paraId="16AD6566"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lastRenderedPageBreak/>
        <w:t>8. Образец бюллетеня для голосования утверждается Центральной избирательной комиссией, а текст:</w:t>
      </w:r>
    </w:p>
    <w:p w14:paraId="1517C463"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1) Центральной избирательной комиссией в случае парламентских и президентских выборов;</w:t>
      </w:r>
    </w:p>
    <w:p w14:paraId="4BD5C4A2"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2) окружными избирательными советами в случае местных выборов.</w:t>
      </w:r>
    </w:p>
    <w:p w14:paraId="62E55D4E"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9. После утверждения образца и текста бюллетеней для голосования каждый конкурент на выборах приглашается зарегистрировавшим его избирательным органом для проверки правильности порядка его внесения в бюллетень для голосования, если правильно написаны наименование политического формирования или фамилия и имя кандидата, а также если принадлежащий ему символ соответствует представленному в избирательный орган. После проверки этих элементов конкурент на выборах проставляет свою подпись напротив прямоугольника с его наименованием или фамилией и именем, ставит дату своей подписи, подтверждая тем самым отсутствие возражений к относящимся к нему записям.</w:t>
      </w:r>
    </w:p>
    <w:p w14:paraId="14396D1A"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10. Бюллетень для голосования делится на прямоугольники по числу конкурентов на выборах, участвующих в выборах.</w:t>
      </w:r>
    </w:p>
    <w:p w14:paraId="7A1B4A45"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11. Размер прямоугольника должен быть достаточным для размещения фамилии и имени кандидата, наименования политической партии или избирательного блока.</w:t>
      </w:r>
    </w:p>
    <w:p w14:paraId="03FD3261"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12. Внутри прямоугольника с фамилией и именем независимого кандидата также пишутся слова «Независимый кандидат».</w:t>
      </w:r>
    </w:p>
    <w:p w14:paraId="238269B7"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13. С левой стороны прямоугольника печатается избирательный знак или символ. По запросу конкурента его избирательный знак или символ может быть изменен до начала избирательной кампании.</w:t>
      </w:r>
    </w:p>
    <w:p w14:paraId="5D1E46FA"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14. Идентичность или схожесть избирательных знаков и символов, в том числе используемых политическими партиями, признанными неконституционными, не допускается. В случае независимых кандидатов, имеющих одинаковые фамилию и имя, дополнительно указывается отчество и при необходимости год рождения.</w:t>
      </w:r>
    </w:p>
    <w:p w14:paraId="6D95D92E"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15. Избирательный знак или символ представляется избирательному органу в требуемом формате. Независимо от вида выборов политические партии и избирательные блоки представляют избирательный знак или символ в Центральную избирательную комиссию, а независимые кандидаты – избирательный знак или символ, в случае наличия такового, в избирательный орган, правомочный их регистрировать. Окружной избирательный совет передает в Центральную избирательную комиссию избирательные знаки или символы независимых кандидатов в течение не более 24 часов с момента регистрации.</w:t>
      </w:r>
    </w:p>
    <w:p w14:paraId="28B9BD49"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16. В случае местных выборов после завершения регистрации конкурентов на выборах Центральная избирательная комиссия своим постановлением утверждает избирательные знаки или символы, представленные политическими партиями/избирательными блоками для их печатания в бюллетенях для голосования.</w:t>
      </w:r>
    </w:p>
    <w:p w14:paraId="789F71DB"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17. Внутри каждого прямоугольника с правой стороны на равном расстоянии от верхнего и нижнего краев печатается кружок диаметром 15 миллиметров, в котором избиратель проставляет печать с надписью «Votat».</w:t>
      </w:r>
    </w:p>
    <w:p w14:paraId="17DFE4AF"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18. Если в бюллетень для голосования внесено более 30 конкурентов на выборах, он печатается в виде брошюры, образец которой утверждается постановлением Центральной избирательной комиссии.</w:t>
      </w:r>
    </w:p>
    <w:p w14:paraId="09FF697F" w14:textId="77777777" w:rsidR="00895022" w:rsidRPr="00D96A67" w:rsidRDefault="00895022" w:rsidP="00D96A67">
      <w:pPr>
        <w:widowControl w:val="0"/>
        <w:pBdr>
          <w:top w:val="nil"/>
          <w:left w:val="nil"/>
          <w:bottom w:val="nil"/>
          <w:right w:val="nil"/>
          <w:between w:val="nil"/>
        </w:pBdr>
        <w:jc w:val="both"/>
        <w:rPr>
          <w:color w:val="000000" w:themeColor="text1"/>
        </w:rPr>
      </w:pPr>
    </w:p>
    <w:p w14:paraId="33FAB454" w14:textId="77777777" w:rsidR="00EE1E8C" w:rsidRPr="00D96A67" w:rsidRDefault="00AE6C3E" w:rsidP="00D96A67">
      <w:pPr>
        <w:widowControl w:val="0"/>
        <w:pBdr>
          <w:top w:val="nil"/>
          <w:left w:val="nil"/>
          <w:bottom w:val="nil"/>
          <w:right w:val="nil"/>
          <w:between w:val="nil"/>
        </w:pBdr>
        <w:jc w:val="center"/>
        <w:rPr>
          <w:color w:val="000000" w:themeColor="text1"/>
        </w:rPr>
      </w:pPr>
      <w:r w:rsidRPr="00D96A67">
        <w:rPr>
          <w:b/>
          <w:i/>
          <w:color w:val="000000" w:themeColor="text1"/>
          <w:lang w:val="ru-RU"/>
        </w:rPr>
        <w:t>Раздел</w:t>
      </w:r>
      <w:r w:rsidR="00095F3B" w:rsidRPr="00D96A67">
        <w:rPr>
          <w:b/>
          <w:i/>
          <w:color w:val="000000" w:themeColor="text1"/>
        </w:rPr>
        <w:t xml:space="preserve"> 2</w:t>
      </w:r>
      <w:r w:rsidR="00895022" w:rsidRPr="00D96A67">
        <w:rPr>
          <w:b/>
          <w:i/>
          <w:color w:val="000000" w:themeColor="text1"/>
        </w:rPr>
        <w:t xml:space="preserve">. </w:t>
      </w:r>
      <w:r w:rsidR="00EE1E8C" w:rsidRPr="00D96A67">
        <w:rPr>
          <w:b/>
          <w:i/>
          <w:color w:val="000000" w:themeColor="text1"/>
        </w:rPr>
        <w:t>Утверждение образца и текста бюллетеней для голосования</w:t>
      </w:r>
    </w:p>
    <w:p w14:paraId="7F06688F" w14:textId="77777777" w:rsidR="00A14FF7" w:rsidRPr="00D96A67" w:rsidRDefault="00EE1E8C" w:rsidP="00D96A67">
      <w:pPr>
        <w:widowControl w:val="0"/>
        <w:pBdr>
          <w:top w:val="nil"/>
          <w:left w:val="nil"/>
          <w:bottom w:val="nil"/>
          <w:right w:val="nil"/>
          <w:between w:val="nil"/>
        </w:pBdr>
        <w:jc w:val="center"/>
        <w:rPr>
          <w:color w:val="000000" w:themeColor="text1"/>
          <w:lang w:val="ru-RU"/>
        </w:rPr>
      </w:pPr>
      <w:r w:rsidRPr="00D96A67">
        <w:rPr>
          <w:b/>
          <w:i/>
          <w:color w:val="000000" w:themeColor="text1"/>
        </w:rPr>
        <w:t xml:space="preserve">в случае проведения </w:t>
      </w:r>
      <w:r w:rsidR="00A14FF7" w:rsidRPr="00D96A67">
        <w:rPr>
          <w:b/>
          <w:i/>
          <w:color w:val="000000" w:themeColor="text1"/>
          <w:lang w:val="ru-RU"/>
        </w:rPr>
        <w:t>референдума</w:t>
      </w:r>
    </w:p>
    <w:p w14:paraId="10ACE6C8" w14:textId="77777777" w:rsidR="00B43F94" w:rsidRPr="00D96A67" w:rsidRDefault="00B43F94" w:rsidP="00D96A67">
      <w:pPr>
        <w:widowControl w:val="0"/>
        <w:jc w:val="both"/>
        <w:rPr>
          <w:color w:val="000000" w:themeColor="text1"/>
        </w:rPr>
      </w:pPr>
    </w:p>
    <w:p w14:paraId="144D27CA"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19. Образец бюллетеня для голосования в случае организации республиканского и местного референдума утверждается Центральной избирательной комиссией, а текст:</w:t>
      </w:r>
    </w:p>
    <w:p w14:paraId="6EFC3C35"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lastRenderedPageBreak/>
        <w:t>1) Центральной избирательной комиссией в случае республиканского референдума;</w:t>
      </w:r>
    </w:p>
    <w:p w14:paraId="5D9EB690"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2) соответствующими окружными избирательными советами в случае местного референдума.</w:t>
      </w:r>
    </w:p>
    <w:p w14:paraId="2CCE8F26"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20. В случае республиканского референдума в бюллетене воспроизводится текст вопроса, по которому должны высказаться избиратели, или текст проекта закона, выносимого на республиканский референдум. Справа от текста вопроса или проекта закона по горизонтали помещаются два прямоугольника со словами „DA” («Да») и „NU” («Нет»), а под ними — два кружочка.</w:t>
      </w:r>
    </w:p>
    <w:p w14:paraId="0B5680AC"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21. В случае местного референдума в бюллетене воспроизводится текст вопроса, выносимого на референдум. Справа от текста по горизонтали помещаются два прямоугольника со словами „DA” («Да») и „NU” («Нет»), а под ними — два кружочка.</w:t>
      </w:r>
    </w:p>
    <w:p w14:paraId="0F08524E" w14:textId="77777777" w:rsidR="00B43F94" w:rsidRPr="00D96A67" w:rsidRDefault="00B43F94" w:rsidP="00D96A67">
      <w:pPr>
        <w:widowControl w:val="0"/>
        <w:jc w:val="both"/>
        <w:rPr>
          <w:color w:val="000000" w:themeColor="text1"/>
        </w:rPr>
      </w:pPr>
    </w:p>
    <w:p w14:paraId="2258FB80" w14:textId="14012FB7" w:rsidR="00453D3A" w:rsidRPr="00D96A67" w:rsidRDefault="00C01DD1" w:rsidP="00D96A67">
      <w:pPr>
        <w:widowControl w:val="0"/>
        <w:pBdr>
          <w:top w:val="nil"/>
          <w:left w:val="nil"/>
          <w:bottom w:val="nil"/>
          <w:right w:val="nil"/>
          <w:between w:val="nil"/>
        </w:pBdr>
        <w:jc w:val="center"/>
        <w:rPr>
          <w:color w:val="000000" w:themeColor="text1"/>
        </w:rPr>
      </w:pPr>
      <w:r w:rsidRPr="00D96A67">
        <w:rPr>
          <w:b/>
          <w:color w:val="000000" w:themeColor="text1"/>
          <w:lang w:val="ru-RU"/>
        </w:rPr>
        <w:t>Глава</w:t>
      </w:r>
      <w:r w:rsidR="00095F3B" w:rsidRPr="00D96A67">
        <w:rPr>
          <w:b/>
          <w:color w:val="000000" w:themeColor="text1"/>
        </w:rPr>
        <w:t xml:space="preserve"> III. </w:t>
      </w:r>
      <w:r w:rsidR="004930C3" w:rsidRPr="00D96A67">
        <w:rPr>
          <w:b/>
          <w:color w:val="000000" w:themeColor="text1"/>
        </w:rPr>
        <w:t>Печат</w:t>
      </w:r>
      <w:r w:rsidR="007427C5" w:rsidRPr="00D96A67">
        <w:rPr>
          <w:b/>
          <w:color w:val="000000" w:themeColor="text1"/>
          <w:lang w:val="ru-RU"/>
        </w:rPr>
        <w:t>ание</w:t>
      </w:r>
      <w:r w:rsidR="004930C3" w:rsidRPr="00D96A67">
        <w:rPr>
          <w:b/>
          <w:color w:val="000000" w:themeColor="text1"/>
        </w:rPr>
        <w:t xml:space="preserve"> бюллетеней для голосования</w:t>
      </w:r>
    </w:p>
    <w:p w14:paraId="2C50085D" w14:textId="1F78B712" w:rsidR="00B43F94" w:rsidRPr="00D96A67" w:rsidRDefault="004930C3" w:rsidP="00D96A67">
      <w:pPr>
        <w:widowControl w:val="0"/>
        <w:pBdr>
          <w:top w:val="nil"/>
          <w:left w:val="nil"/>
          <w:bottom w:val="nil"/>
          <w:right w:val="nil"/>
          <w:between w:val="nil"/>
        </w:pBdr>
        <w:jc w:val="center"/>
        <w:rPr>
          <w:color w:val="000000" w:themeColor="text1"/>
        </w:rPr>
      </w:pPr>
      <w:r w:rsidRPr="00D96A67">
        <w:rPr>
          <w:b/>
          <w:color w:val="000000" w:themeColor="text1"/>
        </w:rPr>
        <w:t xml:space="preserve">и </w:t>
      </w:r>
      <w:r w:rsidRPr="00D96A67">
        <w:rPr>
          <w:b/>
          <w:color w:val="000000" w:themeColor="text1"/>
          <w:lang w:val="ru-RU"/>
        </w:rPr>
        <w:t xml:space="preserve">их </w:t>
      </w:r>
      <w:r w:rsidRPr="00D96A67">
        <w:rPr>
          <w:b/>
          <w:color w:val="000000" w:themeColor="text1"/>
        </w:rPr>
        <w:t xml:space="preserve">передача </w:t>
      </w:r>
      <w:r w:rsidRPr="00D96A67">
        <w:rPr>
          <w:b/>
          <w:color w:val="000000" w:themeColor="text1"/>
          <w:lang w:val="ru-RU"/>
        </w:rPr>
        <w:t>участковым избирательным бюро</w:t>
      </w:r>
    </w:p>
    <w:p w14:paraId="41FF31D8" w14:textId="77777777" w:rsidR="0032560F" w:rsidRPr="00D96A67" w:rsidRDefault="0032560F" w:rsidP="00D96A67">
      <w:pPr>
        <w:widowControl w:val="0"/>
        <w:pBdr>
          <w:top w:val="nil"/>
          <w:left w:val="nil"/>
          <w:bottom w:val="nil"/>
          <w:right w:val="nil"/>
          <w:between w:val="nil"/>
        </w:pBdr>
        <w:jc w:val="both"/>
        <w:rPr>
          <w:color w:val="000000" w:themeColor="text1"/>
        </w:rPr>
      </w:pPr>
    </w:p>
    <w:p w14:paraId="73EC87DB"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22. Безопасность процесса изготовления матрицы, печатания бюллетеней для голосования, их упаковывания и распределения, а также уничтожения матрицы обеспечивается Службой информации и безопасности и Министерством внутренних дел.</w:t>
      </w:r>
    </w:p>
    <w:p w14:paraId="5424DD49"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23. Бюллетени для голосования печатаются в соответствии с утвержденными образцом и текстом. Члены Центральной избирательной комиссии присутствуют, а представители конкурентов на выборах/участников референдума могут присутствовать при:</w:t>
      </w:r>
    </w:p>
    <w:p w14:paraId="254A15C2"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1) изготовлении матрицы бюллетеня для голосования;</w:t>
      </w:r>
    </w:p>
    <w:p w14:paraId="26317DF5"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2) печатании бюллетеней для голосования;</w:t>
      </w:r>
    </w:p>
    <w:p w14:paraId="53B9E89C"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3) уничтожении матрицы.</w:t>
      </w:r>
    </w:p>
    <w:p w14:paraId="1E1D82E3"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24. Бюллетени для голосования печатаются не позднее чем за пять дней до дня выборов в количестве, соответствующем числу избирателей, на непрозрачной (матовой) бумаге.</w:t>
      </w:r>
    </w:p>
    <w:p w14:paraId="6D330C9D"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25. На каждом бюллетене проставляется два номера, которые соответствуют порядковому номеру избирательного округа и порядковому номеру избирательного участка.</w:t>
      </w:r>
    </w:p>
    <w:p w14:paraId="5A77CE2E"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26. Напечатанные бюллетени для голосования передаются участковым избирательным бюро посредством окружного избирательного совета под охраной полиции следующим образом:</w:t>
      </w:r>
    </w:p>
    <w:p w14:paraId="412DB153"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1) в случае парламентских, президентских и местных выборов для избирательных участков, образованных по стране, Центральная избирательная комиссия не позднее чем за два дня до дня выборов отправляет бюллетени для голосования окружным избирательным советам, которые передают их участковым избирательным бюро за один день до дня выборов;</w:t>
      </w:r>
    </w:p>
    <w:p w14:paraId="10F8853D"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2) в случае республиканского референдума бюллетени для голосования передаются окружным избирательным советам за три дня до дня референдума, а участковым избирательным бюро – за один день до дня референдума.</w:t>
      </w:r>
    </w:p>
    <w:p w14:paraId="291C1E99"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3) в случае местного референдума бюллетени распределяются согласно положениям подпункта 1).</w:t>
      </w:r>
    </w:p>
    <w:p w14:paraId="36CE9838"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 xml:space="preserve">27. При проведении парламентских и президентских выборов, а также республиканского референдума бюллетени для голосования, напечатанные для избирательных участков, образованных за рубежом, отправляются Центральной избирательной комиссией соответствующим участковым избирательным бюро через Министерство иностранных дел и европейской интеграции (далее – МИДЕИ). День передачи устанавливается по запросу МИДЕИ, но не позднее чем за 5 дней до дня голосования. Акт приема-передачи бюллетеней для голосования, составленный согласно </w:t>
      </w:r>
      <w:r w:rsidRPr="00D96A67">
        <w:rPr>
          <w:color w:val="000000" w:themeColor="text1"/>
        </w:rPr>
        <w:lastRenderedPageBreak/>
        <w:t>приложению № 1, контрасигнуется представителем окружного избирательного совета, образованного для зарубежных избирательных участков, и представителем Службы информации и безопасности.</w:t>
      </w:r>
    </w:p>
    <w:p w14:paraId="2EB25E82"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28. Для зарубежных избирательных участков тираж бюллетеней для голосования устанавливается постановлением Центральной избирательной комиссии исходя из приблизительного количества избирателей, определенного на основании информации, представленной МИДЕИ и собранной Центральной избирательной комиссией, однако не более 5000 бюллетеней для голосования для каждого избирательного бюро на каждый день голосования.</w:t>
      </w:r>
    </w:p>
    <w:p w14:paraId="0BE0639E"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29. Окружной избирательный совет передает бюллетени для голосования участковым избирательным бюро на основании акта передачи по образцу, приведенному в приложении № 12 к Положению о деятельности окружного избирательного совета в избирательный период, утвержденному Постановлением Центральной избирательной комиссии № 1100/2023.</w:t>
      </w:r>
    </w:p>
    <w:p w14:paraId="3A5A5554"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30. Напечатанные бюллетени для голосования хранятся в окружном избирательном совете и накануне дня выборов передаются участковым избирательным бюро с составлением акта передачи.</w:t>
      </w:r>
    </w:p>
    <w:p w14:paraId="36884272"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31. Участковое избирательное бюро после получения бюллетеней для голосования, но не ранее чем за день до выборов, проводит их подсчет и составляет акт констатации их количества по образцу, приведенному в приложении № 11 к Положению о деятельности участкового избирательного бюро.</w:t>
      </w:r>
    </w:p>
    <w:p w14:paraId="2469DB78"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При подсчете бюллетеней для голосования могут присутствовать члены и представители вышестоящих избирательных органов, представители конкурентов на выборах/участников референдума, наблюдатели, а также журналисты, уполномоченные учреждениями средств массовой информации и утвержденные Центральной избирательной комиссией.</w:t>
      </w:r>
    </w:p>
    <w:p w14:paraId="0DA3232A" w14:textId="77777777" w:rsidR="00DF1E46" w:rsidRPr="00D96A67" w:rsidRDefault="00DF1E46" w:rsidP="00D96A67">
      <w:pPr>
        <w:widowControl w:val="0"/>
        <w:jc w:val="both"/>
        <w:rPr>
          <w:color w:val="000000" w:themeColor="text1"/>
        </w:rPr>
      </w:pPr>
    </w:p>
    <w:p w14:paraId="28D156A6" w14:textId="0CA8B434" w:rsidR="00B43F94" w:rsidRPr="00D96A67" w:rsidRDefault="00C01DD1" w:rsidP="00D96A67">
      <w:pPr>
        <w:widowControl w:val="0"/>
        <w:jc w:val="center"/>
        <w:rPr>
          <w:color w:val="000000" w:themeColor="text1"/>
          <w:lang w:val="ru-RU"/>
        </w:rPr>
      </w:pPr>
      <w:r w:rsidRPr="00D96A67">
        <w:rPr>
          <w:b/>
          <w:color w:val="000000" w:themeColor="text1"/>
          <w:lang w:val="ru-RU"/>
        </w:rPr>
        <w:t>Глава</w:t>
      </w:r>
      <w:r w:rsidR="00F47CA8" w:rsidRPr="00D96A67">
        <w:rPr>
          <w:b/>
          <w:color w:val="000000" w:themeColor="text1"/>
        </w:rPr>
        <w:t xml:space="preserve"> </w:t>
      </w:r>
      <w:r w:rsidR="00095F3B" w:rsidRPr="00D96A67">
        <w:rPr>
          <w:b/>
          <w:color w:val="000000" w:themeColor="text1"/>
        </w:rPr>
        <w:t xml:space="preserve">IV. </w:t>
      </w:r>
      <w:r w:rsidR="00480F43" w:rsidRPr="00D96A67">
        <w:rPr>
          <w:b/>
          <w:color w:val="000000" w:themeColor="text1"/>
          <w:lang w:val="ru-RU"/>
        </w:rPr>
        <w:t xml:space="preserve">Хранение </w:t>
      </w:r>
      <w:r w:rsidR="00480F43" w:rsidRPr="00D96A67">
        <w:rPr>
          <w:b/>
          <w:color w:val="000000" w:themeColor="text1"/>
        </w:rPr>
        <w:t>бюллетеней для голосования</w:t>
      </w:r>
    </w:p>
    <w:p w14:paraId="01F5F1B4" w14:textId="77777777" w:rsidR="00B43F94" w:rsidRPr="00D96A67" w:rsidRDefault="00B43F94" w:rsidP="00D96A67">
      <w:pPr>
        <w:widowControl w:val="0"/>
        <w:jc w:val="both"/>
        <w:rPr>
          <w:color w:val="000000" w:themeColor="text1"/>
        </w:rPr>
      </w:pPr>
    </w:p>
    <w:p w14:paraId="716B68A5"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32. Целостность бюллетеней на всех этапах, начиная с их передачи нижестоящим избирательным органам, в том числе безопасность помещений, где они хранятся, обеспечивается представителями Министерства внутренних дел.</w:t>
      </w:r>
    </w:p>
    <w:p w14:paraId="409A666C"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33. После опечатывания помещений/мест хранения бюллетеней для голосования доступ к ним имеется только у председателя соответствующего избирательного органа в сопровождении не менее двух членов.</w:t>
      </w:r>
    </w:p>
    <w:p w14:paraId="7E580709"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34. Служащие избирательной сферы из состава избирательных органов несут ответственность за сохранность и целостность бюллетеней для голосования, находящихся в их распоряжении. Об утере/повреждении бюллетеней для голосования незамедлительно сообщается вышестоящему избирательному органу или Центральной избирательной комиссии, в зависимости от обстоятельств. Установление факта утраты/повреждения осуществляется на основании акта, составляемого согласно приложению № 2 и подписываемого членами соответствующего избирательного органа.</w:t>
      </w:r>
    </w:p>
    <w:p w14:paraId="1212E141"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35. Несанкционированный вынос из помещения избирательного участка бюллетеней для голосования запрещен.</w:t>
      </w:r>
    </w:p>
    <w:p w14:paraId="79582D30"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Несоблюдение положений настоящего пункта влечет ответственность за правонарушение в соответствии со ст. 104 Избирательного кодекса № 325/2022 и ст. 49 Кодекса о правонарушениях № 218/2008.</w:t>
      </w:r>
    </w:p>
    <w:p w14:paraId="46CA7B94"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36. Представители конкурентов на выборах/участников референдума, наблюдатели, а также избиратели вправе ознакомиться с образцами бюллетеней для голосования в помещении соответствующего избирательного бюро.</w:t>
      </w:r>
    </w:p>
    <w:p w14:paraId="60F3C165"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lastRenderedPageBreak/>
        <w:t>37. Процедура использования бюллетеней для голосования и их хранения в день голосования предусмотрена в Положении о деятельности участкового избирательного бюро.</w:t>
      </w:r>
    </w:p>
    <w:p w14:paraId="024F175D" w14:textId="77777777" w:rsidR="00D96A67" w:rsidRPr="00D96A67" w:rsidRDefault="00D96A67" w:rsidP="00D96A67">
      <w:pPr>
        <w:pStyle w:val="NormalWeb"/>
        <w:shd w:val="clear" w:color="auto" w:fill="FFFFFF"/>
        <w:spacing w:before="0" w:beforeAutospacing="0" w:after="0" w:afterAutospacing="0"/>
        <w:ind w:firstLine="709"/>
        <w:jc w:val="both"/>
        <w:rPr>
          <w:color w:val="000000" w:themeColor="text1"/>
        </w:rPr>
      </w:pPr>
      <w:r w:rsidRPr="00D96A67">
        <w:rPr>
          <w:color w:val="000000" w:themeColor="text1"/>
        </w:rPr>
        <w:t>38. Процедура систематизации, упаковывания, передачи после дня голосования бюллетеней для голосования, их временного хранения и последующего уничтожения в соответствии с положениями ст. 87 Избирательного кодекса № 325/2022 предусмотрена Инструкцией о порядке систематизации, упаковывания, опечатывания и передачи документов (материалов и избирательного оборудования) после закрытия избирательных участков, утв</w:t>
      </w:r>
      <w:bookmarkStart w:id="0" w:name="_GoBack"/>
      <w:bookmarkEnd w:id="0"/>
      <w:r w:rsidRPr="00D96A67">
        <w:rPr>
          <w:color w:val="000000" w:themeColor="text1"/>
        </w:rPr>
        <w:t>ержденной Центральной избирательной комиссией.</w:t>
      </w:r>
    </w:p>
    <w:sectPr w:rsidR="00D96A67" w:rsidRPr="00D96A67" w:rsidSect="00F536A2">
      <w:headerReference w:type="default" r:id="rId8"/>
      <w:pgSz w:w="11906" w:h="16838"/>
      <w:pgMar w:top="1134" w:right="851" w:bottom="1134" w:left="1985" w:header="810" w:footer="70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9A396" w14:textId="77777777" w:rsidR="00E761A2" w:rsidRDefault="00E761A2">
      <w:r>
        <w:separator/>
      </w:r>
    </w:p>
  </w:endnote>
  <w:endnote w:type="continuationSeparator" w:id="0">
    <w:p w14:paraId="46F82FB1" w14:textId="77777777" w:rsidR="00E761A2" w:rsidRDefault="00E7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9FEB" w14:textId="77777777" w:rsidR="00E761A2" w:rsidRDefault="00E761A2">
      <w:r>
        <w:separator/>
      </w:r>
    </w:p>
  </w:footnote>
  <w:footnote w:type="continuationSeparator" w:id="0">
    <w:p w14:paraId="0F745A18" w14:textId="77777777" w:rsidR="00E761A2" w:rsidRDefault="00E76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C00F" w14:textId="48415F4B" w:rsidR="00AB2EF4" w:rsidRDefault="00AB2EF4" w:rsidP="008B394B">
    <w:pPr>
      <w:pBdr>
        <w:top w:val="nil"/>
        <w:left w:val="nil"/>
        <w:bottom w:val="nil"/>
        <w:right w:val="nil"/>
        <w:between w:val="nil"/>
      </w:pBdr>
      <w:tabs>
        <w:tab w:val="center" w:pos="4536"/>
        <w:tab w:val="right" w:pos="9072"/>
        <w:tab w:val="left" w:pos="8490"/>
        <w:tab w:val="right" w:pos="9459"/>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F40D1"/>
    <w:multiLevelType w:val="multilevel"/>
    <w:tmpl w:val="C9B82940"/>
    <w:lvl w:ilvl="0">
      <w:start w:val="1"/>
      <w:numFmt w:val="decimal"/>
      <w:lvlText w:val="%1)"/>
      <w:lvlJc w:val="left"/>
      <w:pPr>
        <w:ind w:left="1380" w:hanging="360"/>
      </w:pPr>
      <w:rPr>
        <w:color w:val="00000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 w15:restartNumberingAfterBreak="0">
    <w:nsid w:val="4EA842AD"/>
    <w:multiLevelType w:val="multilevel"/>
    <w:tmpl w:val="280A6E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5D46682"/>
    <w:multiLevelType w:val="multilevel"/>
    <w:tmpl w:val="C7245756"/>
    <w:lvl w:ilvl="0">
      <w:start w:val="1"/>
      <w:numFmt w:val="decimal"/>
      <w:lvlText w:val="%1."/>
      <w:lvlJc w:val="left"/>
      <w:pPr>
        <w:ind w:left="2062" w:hanging="360"/>
      </w:pPr>
      <w:rPr>
        <w:rFonts w:ascii="Times New Roman" w:eastAsia="Times New Roman" w:hAnsi="Times New Roman" w:cs="Times New Roman"/>
        <w:b w:val="0"/>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73BF3700"/>
    <w:multiLevelType w:val="multilevel"/>
    <w:tmpl w:val="CADCD72A"/>
    <w:lvl w:ilvl="0">
      <w:start w:val="1"/>
      <w:numFmt w:val="decimal"/>
      <w:lvlText w:val="%1)"/>
      <w:lvlJc w:val="left"/>
      <w:pPr>
        <w:ind w:left="1635" w:hanging="360"/>
      </w:pPr>
    </w:lvl>
    <w:lvl w:ilvl="1">
      <w:start w:val="1"/>
      <w:numFmt w:val="lowerLetter"/>
      <w:lvlText w:val="%2."/>
      <w:lvlJc w:val="left"/>
      <w:pPr>
        <w:ind w:left="2355" w:hanging="360"/>
      </w:pPr>
    </w:lvl>
    <w:lvl w:ilvl="2">
      <w:start w:val="1"/>
      <w:numFmt w:val="lowerRoman"/>
      <w:lvlText w:val="%3."/>
      <w:lvlJc w:val="right"/>
      <w:pPr>
        <w:ind w:left="3075" w:hanging="180"/>
      </w:pPr>
    </w:lvl>
    <w:lvl w:ilvl="3">
      <w:start w:val="1"/>
      <w:numFmt w:val="decimal"/>
      <w:lvlText w:val="%4."/>
      <w:lvlJc w:val="left"/>
      <w:pPr>
        <w:ind w:left="3795" w:hanging="360"/>
      </w:pPr>
    </w:lvl>
    <w:lvl w:ilvl="4">
      <w:start w:val="1"/>
      <w:numFmt w:val="lowerLetter"/>
      <w:lvlText w:val="%5."/>
      <w:lvlJc w:val="left"/>
      <w:pPr>
        <w:ind w:left="4515" w:hanging="360"/>
      </w:pPr>
    </w:lvl>
    <w:lvl w:ilvl="5">
      <w:start w:val="1"/>
      <w:numFmt w:val="lowerRoman"/>
      <w:lvlText w:val="%6."/>
      <w:lvlJc w:val="right"/>
      <w:pPr>
        <w:ind w:left="5235" w:hanging="180"/>
      </w:pPr>
    </w:lvl>
    <w:lvl w:ilvl="6">
      <w:start w:val="1"/>
      <w:numFmt w:val="decimal"/>
      <w:lvlText w:val="%7."/>
      <w:lvlJc w:val="left"/>
      <w:pPr>
        <w:ind w:left="5955" w:hanging="360"/>
      </w:pPr>
    </w:lvl>
    <w:lvl w:ilvl="7">
      <w:start w:val="1"/>
      <w:numFmt w:val="lowerLetter"/>
      <w:lvlText w:val="%8."/>
      <w:lvlJc w:val="left"/>
      <w:pPr>
        <w:ind w:left="6675" w:hanging="360"/>
      </w:pPr>
    </w:lvl>
    <w:lvl w:ilvl="8">
      <w:start w:val="1"/>
      <w:numFmt w:val="lowerRoman"/>
      <w:lvlText w:val="%9."/>
      <w:lvlJc w:val="right"/>
      <w:pPr>
        <w:ind w:left="739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94"/>
    <w:rsid w:val="000000BC"/>
    <w:rsid w:val="0000540D"/>
    <w:rsid w:val="0000696C"/>
    <w:rsid w:val="00023BD3"/>
    <w:rsid w:val="000434B5"/>
    <w:rsid w:val="000721A5"/>
    <w:rsid w:val="000823E0"/>
    <w:rsid w:val="00092737"/>
    <w:rsid w:val="00095F3B"/>
    <w:rsid w:val="000A3AA7"/>
    <w:rsid w:val="000A7260"/>
    <w:rsid w:val="000A7C80"/>
    <w:rsid w:val="000C34FF"/>
    <w:rsid w:val="000D0993"/>
    <w:rsid w:val="000E126C"/>
    <w:rsid w:val="000E43A1"/>
    <w:rsid w:val="000F716A"/>
    <w:rsid w:val="00102653"/>
    <w:rsid w:val="00102FFE"/>
    <w:rsid w:val="0010316F"/>
    <w:rsid w:val="0010393F"/>
    <w:rsid w:val="00114B1E"/>
    <w:rsid w:val="001164D1"/>
    <w:rsid w:val="001233DB"/>
    <w:rsid w:val="00140938"/>
    <w:rsid w:val="0014126D"/>
    <w:rsid w:val="00150126"/>
    <w:rsid w:val="001503D0"/>
    <w:rsid w:val="00162C12"/>
    <w:rsid w:val="00163469"/>
    <w:rsid w:val="00165EB9"/>
    <w:rsid w:val="001678B2"/>
    <w:rsid w:val="001774D6"/>
    <w:rsid w:val="0018384D"/>
    <w:rsid w:val="00183E15"/>
    <w:rsid w:val="00186142"/>
    <w:rsid w:val="00195323"/>
    <w:rsid w:val="001A4190"/>
    <w:rsid w:val="001A5752"/>
    <w:rsid w:val="001B4C74"/>
    <w:rsid w:val="001C63A9"/>
    <w:rsid w:val="001D06D5"/>
    <w:rsid w:val="001D6ECD"/>
    <w:rsid w:val="001E72A1"/>
    <w:rsid w:val="00224E46"/>
    <w:rsid w:val="00235AD7"/>
    <w:rsid w:val="00246600"/>
    <w:rsid w:val="002665F2"/>
    <w:rsid w:val="00275B81"/>
    <w:rsid w:val="00286EFC"/>
    <w:rsid w:val="00287EDC"/>
    <w:rsid w:val="002A3D24"/>
    <w:rsid w:val="002A400F"/>
    <w:rsid w:val="002A489E"/>
    <w:rsid w:val="002A667B"/>
    <w:rsid w:val="002A6BB4"/>
    <w:rsid w:val="002B5CAC"/>
    <w:rsid w:val="002C3195"/>
    <w:rsid w:val="002C3716"/>
    <w:rsid w:val="002C5AAB"/>
    <w:rsid w:val="00300E62"/>
    <w:rsid w:val="00304F89"/>
    <w:rsid w:val="0032560F"/>
    <w:rsid w:val="00331DFE"/>
    <w:rsid w:val="00335AE6"/>
    <w:rsid w:val="003419AE"/>
    <w:rsid w:val="00343F37"/>
    <w:rsid w:val="0035569B"/>
    <w:rsid w:val="00357701"/>
    <w:rsid w:val="00361E71"/>
    <w:rsid w:val="00381178"/>
    <w:rsid w:val="00395D74"/>
    <w:rsid w:val="003965EB"/>
    <w:rsid w:val="003B1BC9"/>
    <w:rsid w:val="003B25E3"/>
    <w:rsid w:val="003B53EF"/>
    <w:rsid w:val="003C19DC"/>
    <w:rsid w:val="003D2166"/>
    <w:rsid w:val="003E4172"/>
    <w:rsid w:val="003E554C"/>
    <w:rsid w:val="003F4C59"/>
    <w:rsid w:val="003F4D1C"/>
    <w:rsid w:val="0040259E"/>
    <w:rsid w:val="004121E8"/>
    <w:rsid w:val="00417ECD"/>
    <w:rsid w:val="0042119D"/>
    <w:rsid w:val="00422735"/>
    <w:rsid w:val="004230A3"/>
    <w:rsid w:val="00423B5F"/>
    <w:rsid w:val="004276D8"/>
    <w:rsid w:val="004524F8"/>
    <w:rsid w:val="00453D3A"/>
    <w:rsid w:val="00474408"/>
    <w:rsid w:val="00474BF0"/>
    <w:rsid w:val="00480F43"/>
    <w:rsid w:val="00491A11"/>
    <w:rsid w:val="004930C3"/>
    <w:rsid w:val="004A1051"/>
    <w:rsid w:val="004A3B88"/>
    <w:rsid w:val="004A5CFB"/>
    <w:rsid w:val="004A7D90"/>
    <w:rsid w:val="004C0E61"/>
    <w:rsid w:val="004C2B94"/>
    <w:rsid w:val="004C5DDF"/>
    <w:rsid w:val="004C7188"/>
    <w:rsid w:val="004F2E57"/>
    <w:rsid w:val="004F6720"/>
    <w:rsid w:val="0051416D"/>
    <w:rsid w:val="00520E28"/>
    <w:rsid w:val="0052776E"/>
    <w:rsid w:val="00533BB9"/>
    <w:rsid w:val="00533C52"/>
    <w:rsid w:val="00533DBE"/>
    <w:rsid w:val="00543456"/>
    <w:rsid w:val="0055069B"/>
    <w:rsid w:val="00553189"/>
    <w:rsid w:val="0055456D"/>
    <w:rsid w:val="005577AC"/>
    <w:rsid w:val="0056079B"/>
    <w:rsid w:val="00562C6C"/>
    <w:rsid w:val="00575407"/>
    <w:rsid w:val="00576A14"/>
    <w:rsid w:val="005771B5"/>
    <w:rsid w:val="005806D2"/>
    <w:rsid w:val="00584E7A"/>
    <w:rsid w:val="0058625E"/>
    <w:rsid w:val="005A07AB"/>
    <w:rsid w:val="005A336C"/>
    <w:rsid w:val="005B126C"/>
    <w:rsid w:val="005B1355"/>
    <w:rsid w:val="005B2BFC"/>
    <w:rsid w:val="005C513E"/>
    <w:rsid w:val="005D4A13"/>
    <w:rsid w:val="005D6D86"/>
    <w:rsid w:val="005D6F44"/>
    <w:rsid w:val="005E29B0"/>
    <w:rsid w:val="005F676A"/>
    <w:rsid w:val="00601507"/>
    <w:rsid w:val="00605739"/>
    <w:rsid w:val="0061783F"/>
    <w:rsid w:val="00633434"/>
    <w:rsid w:val="00641A55"/>
    <w:rsid w:val="00652A8D"/>
    <w:rsid w:val="00652E0B"/>
    <w:rsid w:val="006619C0"/>
    <w:rsid w:val="00670BA2"/>
    <w:rsid w:val="00681AE6"/>
    <w:rsid w:val="006A1C66"/>
    <w:rsid w:val="006A3C24"/>
    <w:rsid w:val="006A410B"/>
    <w:rsid w:val="006B3B89"/>
    <w:rsid w:val="006B5B3E"/>
    <w:rsid w:val="006C3F5A"/>
    <w:rsid w:val="006D2092"/>
    <w:rsid w:val="006E0DDE"/>
    <w:rsid w:val="006E4F51"/>
    <w:rsid w:val="006F03C3"/>
    <w:rsid w:val="006F5CDA"/>
    <w:rsid w:val="00703005"/>
    <w:rsid w:val="00710665"/>
    <w:rsid w:val="007262A1"/>
    <w:rsid w:val="0073762A"/>
    <w:rsid w:val="007427C5"/>
    <w:rsid w:val="007460DB"/>
    <w:rsid w:val="00747695"/>
    <w:rsid w:val="00756AEB"/>
    <w:rsid w:val="00756E5F"/>
    <w:rsid w:val="007572EC"/>
    <w:rsid w:val="00767F92"/>
    <w:rsid w:val="007915EF"/>
    <w:rsid w:val="007A0A58"/>
    <w:rsid w:val="007A5A3B"/>
    <w:rsid w:val="007A5B58"/>
    <w:rsid w:val="007A7791"/>
    <w:rsid w:val="007B1F11"/>
    <w:rsid w:val="007F64D2"/>
    <w:rsid w:val="00807AC6"/>
    <w:rsid w:val="008102E9"/>
    <w:rsid w:val="00810A50"/>
    <w:rsid w:val="00814502"/>
    <w:rsid w:val="00822E2B"/>
    <w:rsid w:val="00825327"/>
    <w:rsid w:val="00827610"/>
    <w:rsid w:val="00832AB8"/>
    <w:rsid w:val="00842379"/>
    <w:rsid w:val="008470DC"/>
    <w:rsid w:val="00847DEE"/>
    <w:rsid w:val="00860B7D"/>
    <w:rsid w:val="0086103A"/>
    <w:rsid w:val="008628E2"/>
    <w:rsid w:val="008656F6"/>
    <w:rsid w:val="00866BB5"/>
    <w:rsid w:val="00866E7D"/>
    <w:rsid w:val="00883298"/>
    <w:rsid w:val="00895022"/>
    <w:rsid w:val="008A100A"/>
    <w:rsid w:val="008A4A14"/>
    <w:rsid w:val="008B394B"/>
    <w:rsid w:val="008B6856"/>
    <w:rsid w:val="008C2F5D"/>
    <w:rsid w:val="008C398A"/>
    <w:rsid w:val="008C5F11"/>
    <w:rsid w:val="008E0888"/>
    <w:rsid w:val="008E2B31"/>
    <w:rsid w:val="008E754C"/>
    <w:rsid w:val="008F5199"/>
    <w:rsid w:val="00916E4D"/>
    <w:rsid w:val="0093091A"/>
    <w:rsid w:val="00943A0B"/>
    <w:rsid w:val="0094719A"/>
    <w:rsid w:val="00951622"/>
    <w:rsid w:val="009571BE"/>
    <w:rsid w:val="009608DA"/>
    <w:rsid w:val="0097325E"/>
    <w:rsid w:val="009759E6"/>
    <w:rsid w:val="009863C1"/>
    <w:rsid w:val="00994814"/>
    <w:rsid w:val="009A1DBF"/>
    <w:rsid w:val="009A2221"/>
    <w:rsid w:val="009B033F"/>
    <w:rsid w:val="009B0980"/>
    <w:rsid w:val="009B6F9F"/>
    <w:rsid w:val="009C3640"/>
    <w:rsid w:val="009C3ED1"/>
    <w:rsid w:val="009D1204"/>
    <w:rsid w:val="009D5FC6"/>
    <w:rsid w:val="009E78F6"/>
    <w:rsid w:val="00A14FF7"/>
    <w:rsid w:val="00A15070"/>
    <w:rsid w:val="00A330B3"/>
    <w:rsid w:val="00A330F7"/>
    <w:rsid w:val="00A40388"/>
    <w:rsid w:val="00A41FC6"/>
    <w:rsid w:val="00A57307"/>
    <w:rsid w:val="00A625A2"/>
    <w:rsid w:val="00A70078"/>
    <w:rsid w:val="00A73BD0"/>
    <w:rsid w:val="00A77932"/>
    <w:rsid w:val="00A81871"/>
    <w:rsid w:val="00AA02A9"/>
    <w:rsid w:val="00AB04F3"/>
    <w:rsid w:val="00AB2EF4"/>
    <w:rsid w:val="00AC4C12"/>
    <w:rsid w:val="00AC5346"/>
    <w:rsid w:val="00AD70DF"/>
    <w:rsid w:val="00AE2BFC"/>
    <w:rsid w:val="00AE6C3E"/>
    <w:rsid w:val="00AF4E90"/>
    <w:rsid w:val="00AF6564"/>
    <w:rsid w:val="00B0512E"/>
    <w:rsid w:val="00B107B5"/>
    <w:rsid w:val="00B23EDA"/>
    <w:rsid w:val="00B332D1"/>
    <w:rsid w:val="00B34D2C"/>
    <w:rsid w:val="00B37EEE"/>
    <w:rsid w:val="00B43F94"/>
    <w:rsid w:val="00B70794"/>
    <w:rsid w:val="00B70CAF"/>
    <w:rsid w:val="00B750B2"/>
    <w:rsid w:val="00B77447"/>
    <w:rsid w:val="00B9795D"/>
    <w:rsid w:val="00BA6BA4"/>
    <w:rsid w:val="00BC3EDD"/>
    <w:rsid w:val="00BD3C5E"/>
    <w:rsid w:val="00BD5490"/>
    <w:rsid w:val="00BD696D"/>
    <w:rsid w:val="00BE4B6A"/>
    <w:rsid w:val="00BE6DE9"/>
    <w:rsid w:val="00BF1A8F"/>
    <w:rsid w:val="00BF1E30"/>
    <w:rsid w:val="00C01DD1"/>
    <w:rsid w:val="00C02C3A"/>
    <w:rsid w:val="00C25644"/>
    <w:rsid w:val="00C25D50"/>
    <w:rsid w:val="00C276B5"/>
    <w:rsid w:val="00C40429"/>
    <w:rsid w:val="00C52F81"/>
    <w:rsid w:val="00C63F66"/>
    <w:rsid w:val="00C915A0"/>
    <w:rsid w:val="00C92045"/>
    <w:rsid w:val="00CB0450"/>
    <w:rsid w:val="00CB07B3"/>
    <w:rsid w:val="00CB1F57"/>
    <w:rsid w:val="00CB3B4C"/>
    <w:rsid w:val="00CB4E35"/>
    <w:rsid w:val="00CC718A"/>
    <w:rsid w:val="00CD5734"/>
    <w:rsid w:val="00D06193"/>
    <w:rsid w:val="00D11045"/>
    <w:rsid w:val="00D23977"/>
    <w:rsid w:val="00D30BC4"/>
    <w:rsid w:val="00D34C3A"/>
    <w:rsid w:val="00D5519A"/>
    <w:rsid w:val="00D57360"/>
    <w:rsid w:val="00D60914"/>
    <w:rsid w:val="00D70388"/>
    <w:rsid w:val="00D73009"/>
    <w:rsid w:val="00D73739"/>
    <w:rsid w:val="00D7713B"/>
    <w:rsid w:val="00D81BD3"/>
    <w:rsid w:val="00D925E1"/>
    <w:rsid w:val="00D96A67"/>
    <w:rsid w:val="00DB0ED9"/>
    <w:rsid w:val="00DB2330"/>
    <w:rsid w:val="00DB42AE"/>
    <w:rsid w:val="00DD06E8"/>
    <w:rsid w:val="00DF1795"/>
    <w:rsid w:val="00DF1E46"/>
    <w:rsid w:val="00E03E8D"/>
    <w:rsid w:val="00E05898"/>
    <w:rsid w:val="00E140E3"/>
    <w:rsid w:val="00E22683"/>
    <w:rsid w:val="00E22E5E"/>
    <w:rsid w:val="00E34231"/>
    <w:rsid w:val="00E562CA"/>
    <w:rsid w:val="00E6463E"/>
    <w:rsid w:val="00E702F2"/>
    <w:rsid w:val="00E761A2"/>
    <w:rsid w:val="00E80175"/>
    <w:rsid w:val="00E828F8"/>
    <w:rsid w:val="00E844BE"/>
    <w:rsid w:val="00E96C9D"/>
    <w:rsid w:val="00EA08B1"/>
    <w:rsid w:val="00EA2A71"/>
    <w:rsid w:val="00EC14ED"/>
    <w:rsid w:val="00EC6F0E"/>
    <w:rsid w:val="00ED578B"/>
    <w:rsid w:val="00EE1E8C"/>
    <w:rsid w:val="00EF0C97"/>
    <w:rsid w:val="00F00422"/>
    <w:rsid w:val="00F04049"/>
    <w:rsid w:val="00F04339"/>
    <w:rsid w:val="00F1011A"/>
    <w:rsid w:val="00F25395"/>
    <w:rsid w:val="00F25937"/>
    <w:rsid w:val="00F431E0"/>
    <w:rsid w:val="00F44DA4"/>
    <w:rsid w:val="00F47CA8"/>
    <w:rsid w:val="00F5082D"/>
    <w:rsid w:val="00F536A2"/>
    <w:rsid w:val="00F5529E"/>
    <w:rsid w:val="00F74E67"/>
    <w:rsid w:val="00F862ED"/>
    <w:rsid w:val="00F86FAD"/>
    <w:rsid w:val="00FA0797"/>
    <w:rsid w:val="00FA369C"/>
    <w:rsid w:val="00FB0E01"/>
    <w:rsid w:val="00FB191A"/>
    <w:rsid w:val="00FB3B56"/>
    <w:rsid w:val="00FB5B72"/>
    <w:rsid w:val="00FD0BE0"/>
    <w:rsid w:val="00FD4C30"/>
    <w:rsid w:val="00FE64DC"/>
    <w:rsid w:val="00FF16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DFDA94"/>
  <w15:docId w15:val="{FD85544B-BC29-4BA1-B90B-2B2A5FA8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9BE"/>
    <w:rPr>
      <w:lang w:eastAsia="ru-RU"/>
    </w:rPr>
  </w:style>
  <w:style w:type="paragraph" w:styleId="Titlu1">
    <w:name w:val="heading 1"/>
    <w:basedOn w:val="Normal"/>
    <w:next w:val="Normal"/>
    <w:pPr>
      <w:keepNext/>
      <w:keepLines/>
      <w:spacing w:before="480" w:after="120"/>
      <w:outlineLvl w:val="0"/>
    </w:pPr>
    <w:rPr>
      <w:b/>
      <w:sz w:val="48"/>
      <w:szCs w:val="48"/>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rPr>
  </w:style>
  <w:style w:type="paragraph" w:styleId="Titlu5">
    <w:name w:val="heading 5"/>
    <w:basedOn w:val="Normal"/>
    <w:next w:val="Normal"/>
    <w:pPr>
      <w:keepNext/>
      <w:keepLines/>
      <w:spacing w:before="220" w:after="40"/>
      <w:outlineLvl w:val="4"/>
    </w:pPr>
    <w:rPr>
      <w:b/>
      <w:sz w:val="22"/>
      <w:szCs w:val="22"/>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u">
    <w:name w:val="Title"/>
    <w:basedOn w:val="Normal"/>
    <w:next w:val="Normal"/>
    <w:pPr>
      <w:keepNext/>
      <w:keepLines/>
      <w:spacing w:before="480" w:after="120"/>
    </w:pPr>
    <w:rPr>
      <w:b/>
      <w:sz w:val="72"/>
      <w:szCs w:val="72"/>
    </w:rPr>
  </w:style>
  <w:style w:type="paragraph" w:styleId="TextnBalon">
    <w:name w:val="Balloon Text"/>
    <w:basedOn w:val="Normal"/>
    <w:link w:val="TextnBalonCaracter"/>
    <w:uiPriority w:val="99"/>
    <w:semiHidden/>
    <w:unhideWhenUsed/>
    <w:rsid w:val="005A45A3"/>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A45A3"/>
    <w:rPr>
      <w:rFonts w:ascii="Segoe UI" w:eastAsia="Times New Roman" w:hAnsi="Segoe UI" w:cs="Segoe UI"/>
      <w:sz w:val="18"/>
      <w:szCs w:val="18"/>
      <w:lang w:eastAsia="ru-RU"/>
    </w:rPr>
  </w:style>
  <w:style w:type="character" w:styleId="Referincomentariu">
    <w:name w:val="annotation reference"/>
    <w:basedOn w:val="Fontdeparagrafimplicit"/>
    <w:uiPriority w:val="99"/>
    <w:semiHidden/>
    <w:unhideWhenUsed/>
    <w:rsid w:val="008043D0"/>
    <w:rPr>
      <w:sz w:val="16"/>
      <w:szCs w:val="16"/>
    </w:rPr>
  </w:style>
  <w:style w:type="paragraph" w:styleId="Textcomentariu">
    <w:name w:val="annotation text"/>
    <w:basedOn w:val="Normal"/>
    <w:link w:val="TextcomentariuCaracter"/>
    <w:uiPriority w:val="99"/>
    <w:semiHidden/>
    <w:unhideWhenUsed/>
    <w:rsid w:val="008043D0"/>
    <w:rPr>
      <w:sz w:val="20"/>
      <w:szCs w:val="20"/>
    </w:rPr>
  </w:style>
  <w:style w:type="character" w:customStyle="1" w:styleId="TextcomentariuCaracter">
    <w:name w:val="Text comentariu Caracter"/>
    <w:basedOn w:val="Fontdeparagrafimplicit"/>
    <w:link w:val="Textcomentariu"/>
    <w:uiPriority w:val="99"/>
    <w:semiHidden/>
    <w:rsid w:val="008043D0"/>
    <w:rPr>
      <w:rFonts w:ascii="Times New Roman" w:eastAsia="Times New Roman" w:hAnsi="Times New Roman" w:cs="Times New Roman"/>
      <w:sz w:val="20"/>
      <w:szCs w:val="20"/>
      <w:lang w:eastAsia="ru-RU"/>
    </w:rPr>
  </w:style>
  <w:style w:type="paragraph" w:styleId="SubiectComentariu">
    <w:name w:val="annotation subject"/>
    <w:basedOn w:val="Textcomentariu"/>
    <w:next w:val="Textcomentariu"/>
    <w:link w:val="SubiectComentariuCaracter"/>
    <w:uiPriority w:val="99"/>
    <w:semiHidden/>
    <w:unhideWhenUsed/>
    <w:rsid w:val="008043D0"/>
    <w:rPr>
      <w:b/>
      <w:bCs/>
    </w:rPr>
  </w:style>
  <w:style w:type="character" w:customStyle="1" w:styleId="SubiectComentariuCaracter">
    <w:name w:val="Subiect Comentariu Caracter"/>
    <w:basedOn w:val="TextcomentariuCaracter"/>
    <w:link w:val="SubiectComentariu"/>
    <w:uiPriority w:val="99"/>
    <w:semiHidden/>
    <w:rsid w:val="008043D0"/>
    <w:rPr>
      <w:rFonts w:ascii="Times New Roman" w:eastAsia="Times New Roman" w:hAnsi="Times New Roman" w:cs="Times New Roman"/>
      <w:b/>
      <w:bCs/>
      <w:sz w:val="20"/>
      <w:szCs w:val="20"/>
      <w:lang w:eastAsia="ru-RU"/>
    </w:rPr>
  </w:style>
  <w:style w:type="paragraph" w:styleId="Listparagraf">
    <w:name w:val="List Paragraph"/>
    <w:basedOn w:val="Normal"/>
    <w:uiPriority w:val="34"/>
    <w:qFormat/>
    <w:rsid w:val="005475AC"/>
    <w:pPr>
      <w:ind w:left="720"/>
      <w:contextualSpacing/>
    </w:pPr>
  </w:style>
  <w:style w:type="paragraph" w:styleId="Antet">
    <w:name w:val="header"/>
    <w:basedOn w:val="Normal"/>
    <w:link w:val="AntetCaracter"/>
    <w:uiPriority w:val="99"/>
    <w:unhideWhenUsed/>
    <w:rsid w:val="004D6ED5"/>
    <w:pPr>
      <w:tabs>
        <w:tab w:val="center" w:pos="4536"/>
        <w:tab w:val="right" w:pos="9072"/>
      </w:tabs>
    </w:pPr>
  </w:style>
  <w:style w:type="character" w:customStyle="1" w:styleId="AntetCaracter">
    <w:name w:val="Antet Caracter"/>
    <w:basedOn w:val="Fontdeparagrafimplicit"/>
    <w:link w:val="Antet"/>
    <w:uiPriority w:val="99"/>
    <w:rsid w:val="004D6ED5"/>
    <w:rPr>
      <w:rFonts w:ascii="Times New Roman" w:eastAsia="Times New Roman" w:hAnsi="Times New Roman" w:cs="Times New Roman"/>
      <w:sz w:val="24"/>
      <w:szCs w:val="24"/>
      <w:lang w:eastAsia="ru-RU"/>
    </w:rPr>
  </w:style>
  <w:style w:type="paragraph" w:styleId="Subsol">
    <w:name w:val="footer"/>
    <w:basedOn w:val="Normal"/>
    <w:link w:val="SubsolCaracter"/>
    <w:uiPriority w:val="99"/>
    <w:unhideWhenUsed/>
    <w:rsid w:val="004D6ED5"/>
    <w:pPr>
      <w:tabs>
        <w:tab w:val="center" w:pos="4536"/>
        <w:tab w:val="right" w:pos="9072"/>
      </w:tabs>
    </w:pPr>
  </w:style>
  <w:style w:type="character" w:customStyle="1" w:styleId="SubsolCaracter">
    <w:name w:val="Subsol Caracter"/>
    <w:basedOn w:val="Fontdeparagrafimplicit"/>
    <w:link w:val="Subsol"/>
    <w:uiPriority w:val="99"/>
    <w:rsid w:val="004D6ED5"/>
    <w:rPr>
      <w:rFonts w:ascii="Times New Roman" w:eastAsia="Times New Roman" w:hAnsi="Times New Roman" w:cs="Times New Roman"/>
      <w:sz w:val="24"/>
      <w:szCs w:val="24"/>
      <w:lang w:eastAsia="ru-RU"/>
    </w:rPr>
  </w:style>
  <w:style w:type="character" w:styleId="Hyperlink">
    <w:name w:val="Hyperlink"/>
    <w:basedOn w:val="Fontdeparagrafimplicit"/>
    <w:uiPriority w:val="99"/>
    <w:unhideWhenUsed/>
    <w:rsid w:val="00CB0F68"/>
    <w:rPr>
      <w:color w:val="0563C1" w:themeColor="hyperlink"/>
      <w:u w:val="single"/>
    </w:rPr>
  </w:style>
  <w:style w:type="table" w:styleId="Tabelgril">
    <w:name w:val="Table Grid"/>
    <w:basedOn w:val="TabelNormal"/>
    <w:uiPriority w:val="39"/>
    <w:rsid w:val="004B1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3F2DB0"/>
    <w:rPr>
      <w:lang w:eastAsia="ru-RU"/>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96A67"/>
    <w:pPr>
      <w:spacing w:before="100" w:beforeAutospacing="1" w:after="100" w:afterAutospacing="1"/>
    </w:pPr>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19081">
      <w:bodyDiv w:val="1"/>
      <w:marLeft w:val="0"/>
      <w:marRight w:val="0"/>
      <w:marTop w:val="0"/>
      <w:marBottom w:val="0"/>
      <w:divBdr>
        <w:top w:val="none" w:sz="0" w:space="0" w:color="auto"/>
        <w:left w:val="none" w:sz="0" w:space="0" w:color="auto"/>
        <w:bottom w:val="none" w:sz="0" w:space="0" w:color="auto"/>
        <w:right w:val="none" w:sz="0" w:space="0" w:color="auto"/>
      </w:divBdr>
    </w:div>
    <w:div w:id="855658402">
      <w:bodyDiv w:val="1"/>
      <w:marLeft w:val="0"/>
      <w:marRight w:val="0"/>
      <w:marTop w:val="0"/>
      <w:marBottom w:val="0"/>
      <w:divBdr>
        <w:top w:val="none" w:sz="0" w:space="0" w:color="auto"/>
        <w:left w:val="none" w:sz="0" w:space="0" w:color="auto"/>
        <w:bottom w:val="none" w:sz="0" w:space="0" w:color="auto"/>
        <w:right w:val="none" w:sz="0" w:space="0" w:color="auto"/>
      </w:divBdr>
    </w:div>
    <w:div w:id="1275017952">
      <w:bodyDiv w:val="1"/>
      <w:marLeft w:val="0"/>
      <w:marRight w:val="0"/>
      <w:marTop w:val="0"/>
      <w:marBottom w:val="0"/>
      <w:divBdr>
        <w:top w:val="none" w:sz="0" w:space="0" w:color="auto"/>
        <w:left w:val="none" w:sz="0" w:space="0" w:color="auto"/>
        <w:bottom w:val="none" w:sz="0" w:space="0" w:color="auto"/>
        <w:right w:val="none" w:sz="0" w:space="0" w:color="auto"/>
      </w:divBdr>
    </w:div>
    <w:div w:id="1869638165">
      <w:bodyDiv w:val="1"/>
      <w:marLeft w:val="0"/>
      <w:marRight w:val="0"/>
      <w:marTop w:val="0"/>
      <w:marBottom w:val="0"/>
      <w:divBdr>
        <w:top w:val="none" w:sz="0" w:space="0" w:color="auto"/>
        <w:left w:val="none" w:sz="0" w:space="0" w:color="auto"/>
        <w:bottom w:val="none" w:sz="0" w:space="0" w:color="auto"/>
        <w:right w:val="none" w:sz="0" w:space="0" w:color="auto"/>
      </w:divBdr>
    </w:div>
    <w:div w:id="2103525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e9vmHb24BigwZG87NbYe4DAtZA==">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1918</Words>
  <Characters>11125</Characters>
  <Application>Microsoft Office Word</Application>
  <DocSecurity>0</DocSecurity>
  <Lines>92</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 Puiu</dc:creator>
  <cp:lastModifiedBy>Iana Coziriuc</cp:lastModifiedBy>
  <cp:revision>15</cp:revision>
  <cp:lastPrinted>2023-09-07T07:15:00Z</cp:lastPrinted>
  <dcterms:created xsi:type="dcterms:W3CDTF">2023-09-07T07:15:00Z</dcterms:created>
  <dcterms:modified xsi:type="dcterms:W3CDTF">2023-09-25T11:22:00Z</dcterms:modified>
</cp:coreProperties>
</file>