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D65D02" w:rsidRDefault="00D02424" w:rsidP="00467876">
      <w:pPr>
        <w:spacing w:after="0" w:line="276" w:lineRule="auto"/>
        <w:rPr>
          <w:rFonts w:ascii="Times New Roman" w:hAnsi="Times New Roman" w:cs="Times New Roman"/>
          <w:sz w:val="24"/>
          <w:szCs w:val="24"/>
        </w:rPr>
      </w:pPr>
      <w:r w:rsidRPr="00343686">
        <w:rPr>
          <w:rFonts w:ascii="Times New Roman" w:hAnsi="Times New Roman" w:cs="Times New Roman"/>
          <w:b/>
          <w:color w:val="000000" w:themeColor="text1"/>
          <w:sz w:val="24"/>
          <w:szCs w:val="24"/>
        </w:rPr>
        <w:t>Consultant</w:t>
      </w:r>
      <w:r w:rsidR="00D65D02">
        <w:rPr>
          <w:rFonts w:ascii="Times New Roman" w:hAnsi="Times New Roman" w:cs="Times New Roman"/>
          <w:b/>
          <w:color w:val="000000" w:themeColor="text1"/>
          <w:sz w:val="24"/>
          <w:szCs w:val="24"/>
        </w:rPr>
        <w:t xml:space="preserve"> principal</w:t>
      </w:r>
      <w:r w:rsidR="0010528D">
        <w:rPr>
          <w:rFonts w:ascii="Times New Roman" w:hAnsi="Times New Roman" w:cs="Times New Roman"/>
          <w:b/>
          <w:color w:val="000000" w:themeColor="text1"/>
          <w:sz w:val="24"/>
          <w:szCs w:val="24"/>
        </w:rPr>
        <w:t xml:space="preserve"> (3</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10528D" w:rsidRPr="0010528D">
        <w:rPr>
          <w:rFonts w:ascii="Times New Roman" w:hAnsi="Times New Roman" w:cs="Times New Roman"/>
          <w:b/>
          <w:sz w:val="24"/>
          <w:szCs w:val="24"/>
        </w:rPr>
        <w:t xml:space="preserve">supraveghere și control privind finanțarea partidelor politice și a campaniilor electorale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p>
    <w:p w:rsidR="00117CF2" w:rsidRDefault="00117CF2"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Perioada </w:t>
      </w:r>
      <w:r w:rsidR="00467876">
        <w:rPr>
          <w:rFonts w:ascii="Times New Roman" w:hAnsi="Times New Roman" w:cs="Times New Roman"/>
          <w:sz w:val="24"/>
          <w:szCs w:val="24"/>
        </w:rPr>
        <w:t>de</w:t>
      </w:r>
      <w:r>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 </w:t>
      </w:r>
      <w:r w:rsidR="00163737">
        <w:rPr>
          <w:rFonts w:ascii="Times New Roman" w:hAnsi="Times New Roman" w:cs="Times New Roman"/>
          <w:b/>
          <w:color w:val="000000" w:themeColor="text1"/>
          <w:sz w:val="24"/>
          <w:szCs w:val="24"/>
        </w:rPr>
        <w:t>03 iunie 2025</w:t>
      </w:r>
      <w:r w:rsidR="00467876">
        <w:rPr>
          <w:rFonts w:ascii="Times New Roman" w:hAnsi="Times New Roman" w:cs="Times New Roman"/>
          <w:b/>
          <w:color w:val="000000" w:themeColor="text1"/>
          <w:sz w:val="24"/>
          <w:szCs w:val="24"/>
        </w:rPr>
        <w:t xml:space="preserve"> – </w:t>
      </w:r>
      <w:r w:rsidR="00163737">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Pr="00343686">
        <w:rPr>
          <w:rFonts w:ascii="Times New Roman" w:hAnsi="Times New Roman" w:cs="Times New Roman"/>
          <w:b/>
          <w:color w:val="000000" w:themeColor="text1"/>
          <w:sz w:val="24"/>
          <w:szCs w:val="24"/>
        </w:rPr>
        <w:t>.</w:t>
      </w:r>
    </w:p>
    <w:p w:rsidR="001677D4" w:rsidRPr="00343686" w:rsidRDefault="001677D4" w:rsidP="00467876">
      <w:pPr>
        <w:spacing w:after="0" w:line="276" w:lineRule="auto"/>
        <w:rPr>
          <w:rFonts w:ascii="Times New Roman" w:hAnsi="Times New Roman" w:cs="Times New Roman"/>
          <w:b/>
          <w:color w:val="000000" w:themeColor="text1"/>
          <w:sz w:val="24"/>
          <w:szCs w:val="24"/>
        </w:rPr>
      </w:pPr>
    </w:p>
    <w:p w:rsidR="00A10749" w:rsidRDefault="00A10749" w:rsidP="001677D4">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1677D4" w:rsidRPr="00480DAB" w:rsidRDefault="001677D4" w:rsidP="00480DAB">
      <w:pPr>
        <w:spacing w:after="0" w:line="276" w:lineRule="auto"/>
        <w:ind w:left="709" w:hanging="709"/>
        <w:rPr>
          <w:rStyle w:val="Robust"/>
          <w:rFonts w:ascii="Times New Roman" w:hAnsi="Times New Roman" w:cs="Times New Roman"/>
          <w:b w:val="0"/>
          <w:bCs w:val="0"/>
          <w:sz w:val="24"/>
          <w:szCs w:val="24"/>
          <w:shd w:val="clear" w:color="auto" w:fill="FFFFFF"/>
        </w:rPr>
      </w:pPr>
      <w:r w:rsidRPr="001677D4">
        <w:rPr>
          <w:rStyle w:val="Robust"/>
          <w:rFonts w:ascii="Times New Roman" w:hAnsi="Times New Roman" w:cs="Times New Roman"/>
          <w:sz w:val="24"/>
          <w:szCs w:val="24"/>
          <w:u w:val="single"/>
        </w:rPr>
        <w:t>Studii:</w:t>
      </w:r>
      <w:r w:rsidRPr="001677D4">
        <w:rPr>
          <w:rStyle w:val="Robust"/>
          <w:rFonts w:ascii="Times New Roman" w:hAnsi="Times New Roman" w:cs="Times New Roman"/>
          <w:sz w:val="24"/>
          <w:szCs w:val="24"/>
        </w:rPr>
        <w:t xml:space="preserve"> </w:t>
      </w:r>
      <w:r w:rsidR="00163737" w:rsidRPr="00163737">
        <w:rPr>
          <w:rFonts w:ascii="Times New Roman" w:eastAsia="Times New Roman" w:hAnsi="Times New Roman" w:cs="Times New Roman"/>
          <w:sz w:val="24"/>
          <w:szCs w:val="24"/>
          <w:lang w:bidi="en-US"/>
        </w:rPr>
        <w:t xml:space="preserve">superioare de </w:t>
      </w:r>
      <w:proofErr w:type="spellStart"/>
      <w:r w:rsidR="00163737" w:rsidRPr="00163737">
        <w:rPr>
          <w:rFonts w:ascii="Times New Roman" w:eastAsia="Times New Roman" w:hAnsi="Times New Roman" w:cs="Times New Roman"/>
          <w:sz w:val="24"/>
          <w:szCs w:val="24"/>
          <w:lang w:bidi="en-US"/>
        </w:rPr>
        <w:t>licenţă</w:t>
      </w:r>
      <w:proofErr w:type="spellEnd"/>
      <w:r w:rsidR="00163737" w:rsidRPr="00163737">
        <w:rPr>
          <w:rFonts w:ascii="Times New Roman" w:eastAsia="Times New Roman" w:hAnsi="Times New Roman" w:cs="Times New Roman"/>
          <w:sz w:val="24"/>
          <w:szCs w:val="24"/>
          <w:lang w:bidi="en-US"/>
        </w:rPr>
        <w:t xml:space="preserve"> sau echivalent</w:t>
      </w:r>
      <w:r w:rsidR="00163737" w:rsidRPr="00163737">
        <w:rPr>
          <w:rFonts w:ascii="Times New Roman" w:eastAsia="Times New Roman" w:hAnsi="Times New Roman" w:cs="Times New Roman"/>
          <w:sz w:val="24"/>
          <w:szCs w:val="24"/>
          <w:shd w:val="clear" w:color="auto" w:fill="FFFFFF"/>
          <w:lang w:bidi="en-US"/>
        </w:rPr>
        <w:t xml:space="preserve"> în domeniul</w:t>
      </w:r>
      <w:r w:rsidR="00163737" w:rsidRPr="00163737">
        <w:rPr>
          <w:rFonts w:ascii="Times New Roman" w:eastAsia="Times New Roman" w:hAnsi="Times New Roman" w:cs="Times New Roman"/>
          <w:sz w:val="24"/>
          <w:szCs w:val="24"/>
          <w:lang w:bidi="en-US"/>
        </w:rPr>
        <w:t xml:space="preserve"> juridic</w:t>
      </w:r>
      <w:r w:rsidR="00163737" w:rsidRPr="00163737">
        <w:rPr>
          <w:rFonts w:ascii="Times New Roman" w:eastAsia="Times New Roman" w:hAnsi="Times New Roman" w:cs="Times New Roman"/>
          <w:sz w:val="24"/>
          <w:szCs w:val="24"/>
          <w:shd w:val="clear" w:color="auto" w:fill="FFFFFF"/>
          <w:lang w:bidi="en-US"/>
        </w:rPr>
        <w:t>.</w:t>
      </w:r>
      <w:r w:rsidR="00163737" w:rsidRPr="00163737">
        <w:rPr>
          <w:rFonts w:ascii="Times New Roman" w:eastAsia="Times New Roman" w:hAnsi="Times New Roman" w:cs="Times New Roman"/>
          <w:sz w:val="24"/>
          <w:szCs w:val="24"/>
          <w:lang w:bidi="en-US"/>
        </w:rPr>
        <w:br/>
      </w:r>
    </w:p>
    <w:p w:rsidR="00F67830" w:rsidRPr="001677D4" w:rsidRDefault="00F67830" w:rsidP="00F67830">
      <w:pPr>
        <w:spacing w:after="0" w:line="276" w:lineRule="auto"/>
        <w:contextualSpacing/>
        <w:rPr>
          <w:rStyle w:val="Robust"/>
          <w:rFonts w:ascii="Times New Roman" w:hAnsi="Times New Roman" w:cs="Times New Roman"/>
          <w:sz w:val="24"/>
          <w:szCs w:val="24"/>
          <w:u w:val="single"/>
        </w:rPr>
      </w:pPr>
      <w:r w:rsidRPr="001677D4">
        <w:rPr>
          <w:rStyle w:val="Robust"/>
          <w:rFonts w:ascii="Times New Roman" w:hAnsi="Times New Roman" w:cs="Times New Roman"/>
          <w:sz w:val="24"/>
          <w:szCs w:val="24"/>
          <w:u w:val="single"/>
        </w:rPr>
        <w:t xml:space="preserve">Cerințe specifice minime: </w:t>
      </w:r>
    </w:p>
    <w:p w:rsidR="00163737" w:rsidRPr="00163737" w:rsidRDefault="00163737" w:rsidP="00163737">
      <w:pPr>
        <w:widowControl w:val="0"/>
        <w:adjustRightInd w:val="0"/>
        <w:spacing w:after="0" w:line="276" w:lineRule="auto"/>
        <w:contextualSpacing/>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 xml:space="preserve">- 1,5 ani de </w:t>
      </w:r>
      <w:proofErr w:type="spellStart"/>
      <w:r w:rsidRPr="00163737">
        <w:rPr>
          <w:rFonts w:ascii="Times New Roman" w:eastAsia="Times New Roman" w:hAnsi="Times New Roman" w:cs="Times New Roman"/>
          <w:sz w:val="24"/>
          <w:szCs w:val="24"/>
        </w:rPr>
        <w:t>experienţă</w:t>
      </w:r>
      <w:proofErr w:type="spellEnd"/>
      <w:r w:rsidRPr="00163737">
        <w:rPr>
          <w:rFonts w:ascii="Times New Roman" w:eastAsia="Times New Roman" w:hAnsi="Times New Roman" w:cs="Times New Roman"/>
          <w:sz w:val="24"/>
          <w:szCs w:val="24"/>
        </w:rPr>
        <w:t xml:space="preserve"> profesională în domeniu, </w:t>
      </w:r>
      <w:r w:rsidRPr="00163737">
        <w:rPr>
          <w:rFonts w:ascii="Times New Roman" w:eastAsia="Times New Roman" w:hAnsi="Times New Roman" w:cs="Times New Roman"/>
          <w:sz w:val="24"/>
          <w:szCs w:val="24"/>
          <w:lang w:bidi="en-US"/>
        </w:rPr>
        <w:t>cu experiență obligatorie de participare la procedurile judiciare</w:t>
      </w:r>
      <w:r w:rsidRPr="00163737">
        <w:rPr>
          <w:rFonts w:ascii="Times New Roman" w:eastAsia="Times New Roman" w:hAnsi="Times New Roman" w:cs="Times New Roman"/>
          <w:sz w:val="24"/>
          <w:szCs w:val="24"/>
        </w:rPr>
        <w:t xml:space="preserve">; </w:t>
      </w:r>
    </w:p>
    <w:p w:rsidR="00163737" w:rsidRPr="00163737" w:rsidRDefault="00163737" w:rsidP="00163737">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 xml:space="preserve">- </w:t>
      </w:r>
      <w:r w:rsidRPr="00163737">
        <w:rPr>
          <w:rFonts w:ascii="Times New Roman" w:eastAsia="Times New Roman" w:hAnsi="Times New Roman" w:cs="Times New Roman"/>
          <w:sz w:val="24"/>
          <w:szCs w:val="24"/>
          <w:lang w:bidi="en-US"/>
        </w:rPr>
        <w:t>cunoașterea legislației electorale și conexe, a legislației specifice necesare realizării atribuțiilor funcționale;</w:t>
      </w:r>
    </w:p>
    <w:p w:rsidR="00163737" w:rsidRPr="00163737" w:rsidRDefault="00163737" w:rsidP="00163737">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 xml:space="preserve">- </w:t>
      </w:r>
      <w:proofErr w:type="spellStart"/>
      <w:r w:rsidRPr="00163737">
        <w:rPr>
          <w:rFonts w:ascii="Times New Roman" w:eastAsia="Times New Roman" w:hAnsi="Times New Roman" w:cs="Times New Roman"/>
          <w:sz w:val="24"/>
          <w:szCs w:val="24"/>
        </w:rPr>
        <w:t>cunoaşterea</w:t>
      </w:r>
      <w:proofErr w:type="spellEnd"/>
      <w:r w:rsidRPr="00163737">
        <w:rPr>
          <w:rFonts w:ascii="Times New Roman" w:eastAsia="Times New Roman" w:hAnsi="Times New Roman" w:cs="Times New Roman"/>
          <w:sz w:val="24"/>
          <w:szCs w:val="24"/>
        </w:rPr>
        <w:t xml:space="preserve"> unei limbi de </w:t>
      </w:r>
      <w:proofErr w:type="spellStart"/>
      <w:r w:rsidRPr="00163737">
        <w:rPr>
          <w:rFonts w:ascii="Times New Roman" w:eastAsia="Times New Roman" w:hAnsi="Times New Roman" w:cs="Times New Roman"/>
          <w:sz w:val="24"/>
          <w:szCs w:val="24"/>
        </w:rPr>
        <w:t>circulaţie</w:t>
      </w:r>
      <w:proofErr w:type="spellEnd"/>
      <w:r w:rsidRPr="00163737">
        <w:rPr>
          <w:rFonts w:ascii="Times New Roman" w:eastAsia="Times New Roman" w:hAnsi="Times New Roman" w:cs="Times New Roman"/>
          <w:sz w:val="24"/>
          <w:szCs w:val="24"/>
        </w:rPr>
        <w:t xml:space="preserve"> </w:t>
      </w:r>
      <w:proofErr w:type="spellStart"/>
      <w:r w:rsidRPr="00163737">
        <w:rPr>
          <w:rFonts w:ascii="Times New Roman" w:eastAsia="Times New Roman" w:hAnsi="Times New Roman" w:cs="Times New Roman"/>
          <w:sz w:val="24"/>
          <w:szCs w:val="24"/>
        </w:rPr>
        <w:t>internaţională</w:t>
      </w:r>
      <w:proofErr w:type="spellEnd"/>
      <w:r w:rsidRPr="00163737">
        <w:rPr>
          <w:rFonts w:ascii="Times New Roman" w:eastAsia="Times New Roman" w:hAnsi="Times New Roman" w:cs="Times New Roman"/>
          <w:sz w:val="24"/>
          <w:szCs w:val="24"/>
        </w:rPr>
        <w:t xml:space="preserve"> (nivel B1);</w:t>
      </w:r>
    </w:p>
    <w:p w:rsidR="00163737" w:rsidRPr="00163737" w:rsidRDefault="00163737" w:rsidP="00163737">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r w:rsidRPr="00163737">
        <w:rPr>
          <w:rFonts w:ascii="Times New Roman" w:eastAsia="Times New Roman" w:hAnsi="Times New Roman" w:cs="Times New Roman"/>
          <w:sz w:val="24"/>
          <w:szCs w:val="24"/>
        </w:rPr>
        <w:t xml:space="preserve">- </w:t>
      </w:r>
      <w:proofErr w:type="spellStart"/>
      <w:r w:rsidRPr="00163737">
        <w:rPr>
          <w:rFonts w:ascii="Times New Roman" w:eastAsia="Times New Roman" w:hAnsi="Times New Roman" w:cs="Times New Roman"/>
          <w:sz w:val="24"/>
          <w:szCs w:val="24"/>
        </w:rPr>
        <w:t>abilităţi</w:t>
      </w:r>
      <w:proofErr w:type="spellEnd"/>
      <w:r w:rsidRPr="00163737">
        <w:rPr>
          <w:rFonts w:ascii="Times New Roman" w:eastAsia="Times New Roman" w:hAnsi="Times New Roman" w:cs="Times New Roman"/>
          <w:sz w:val="24"/>
          <w:szCs w:val="24"/>
        </w:rPr>
        <w:t xml:space="preserve"> de utilizare a computerului </w:t>
      </w:r>
      <w:r w:rsidRPr="00163737">
        <w:rPr>
          <w:rFonts w:ascii="Times New Roman" w:eastAsia="Times New Roman" w:hAnsi="Times New Roman" w:cs="Times New Roman"/>
          <w:sz w:val="24"/>
          <w:szCs w:val="24"/>
          <w:lang w:bidi="en-US"/>
        </w:rPr>
        <w:t xml:space="preserve">(Word, Excel, Power Point, Internet, </w:t>
      </w:r>
      <w:proofErr w:type="spellStart"/>
      <w:r w:rsidRPr="00163737">
        <w:rPr>
          <w:rFonts w:ascii="Times New Roman" w:eastAsia="Times New Roman" w:hAnsi="Times New Roman" w:cs="Times New Roman"/>
          <w:sz w:val="24"/>
          <w:szCs w:val="24"/>
          <w:lang w:bidi="en-US"/>
        </w:rPr>
        <w:t>poşta</w:t>
      </w:r>
      <w:proofErr w:type="spellEnd"/>
      <w:r w:rsidRPr="00163737">
        <w:rPr>
          <w:rFonts w:ascii="Times New Roman" w:eastAsia="Times New Roman" w:hAnsi="Times New Roman" w:cs="Times New Roman"/>
          <w:sz w:val="24"/>
          <w:szCs w:val="24"/>
          <w:lang w:bidi="en-US"/>
        </w:rPr>
        <w:t xml:space="preserve"> electronică etc.)</w:t>
      </w:r>
      <w:r w:rsidRPr="00163737">
        <w:rPr>
          <w:rFonts w:ascii="Times New Roman" w:eastAsia="Times New Roman" w:hAnsi="Times New Roman" w:cs="Times New Roman"/>
          <w:sz w:val="24"/>
          <w:szCs w:val="24"/>
        </w:rPr>
        <w:t>.</w:t>
      </w:r>
    </w:p>
    <w:p w:rsidR="001677D4" w:rsidRDefault="001677D4" w:rsidP="001677D4">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p>
    <w:p w:rsidR="004E13B5" w:rsidRPr="001677D4" w:rsidRDefault="005B424F" w:rsidP="001677D4">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o-RO"/>
        </w:rPr>
        <w:t xml:space="preserve"> </w:t>
      </w:r>
      <w:r w:rsidR="001677D4">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163737" w:rsidRPr="00163737" w:rsidRDefault="00163737" w:rsidP="00163737">
      <w:pPr>
        <w:widowControl w:val="0"/>
        <w:numPr>
          <w:ilvl w:val="0"/>
          <w:numId w:val="27"/>
        </w:numPr>
        <w:tabs>
          <w:tab w:val="left" w:pos="223"/>
        </w:tabs>
        <w:adjustRightInd w:val="0"/>
        <w:spacing w:before="120" w:after="0" w:line="276" w:lineRule="auto"/>
        <w:ind w:left="255" w:hanging="270"/>
        <w:jc w:val="both"/>
        <w:textAlignment w:val="baseline"/>
        <w:rPr>
          <w:rFonts w:ascii="Times New Roman" w:eastAsia="Times New Roman" w:hAnsi="Times New Roman" w:cs="Times New Roman"/>
          <w:sz w:val="24"/>
          <w:szCs w:val="24"/>
          <w:lang w:bidi="en-US"/>
        </w:rPr>
      </w:pPr>
      <w:r w:rsidRPr="00163737">
        <w:rPr>
          <w:rFonts w:ascii="Times New Roman" w:eastAsia="Times New Roman" w:hAnsi="Times New Roman" w:cs="Times New Roman"/>
          <w:sz w:val="24"/>
          <w:szCs w:val="24"/>
          <w:lang w:bidi="en-US"/>
        </w:rPr>
        <w:t xml:space="preserve">Participarea la elaborarea proiectelor de documente și acte normative în domeniul finanțării partidelor politice și a campaniilor electorale. </w:t>
      </w:r>
    </w:p>
    <w:p w:rsidR="00163737" w:rsidRPr="00163737" w:rsidRDefault="00163737" w:rsidP="00163737">
      <w:pPr>
        <w:widowControl w:val="0"/>
        <w:numPr>
          <w:ilvl w:val="0"/>
          <w:numId w:val="27"/>
        </w:numPr>
        <w:tabs>
          <w:tab w:val="left" w:pos="223"/>
        </w:tabs>
        <w:adjustRightInd w:val="0"/>
        <w:spacing w:before="120" w:after="0" w:line="276" w:lineRule="auto"/>
        <w:ind w:left="255" w:hanging="270"/>
        <w:jc w:val="both"/>
        <w:textAlignment w:val="baseline"/>
        <w:rPr>
          <w:rFonts w:ascii="Times New Roman" w:eastAsia="Times New Roman" w:hAnsi="Times New Roman" w:cs="Times New Roman"/>
          <w:sz w:val="24"/>
          <w:szCs w:val="24"/>
          <w:lang w:bidi="en-US"/>
        </w:rPr>
      </w:pPr>
      <w:r w:rsidRPr="00163737">
        <w:rPr>
          <w:rFonts w:ascii="Times New Roman" w:eastAsia="Times New Roman" w:hAnsi="Times New Roman" w:cs="Times New Roman"/>
          <w:sz w:val="24"/>
          <w:szCs w:val="24"/>
          <w:lang w:bidi="en-US"/>
        </w:rPr>
        <w:t xml:space="preserve">Examinarea petițiilor/cererilor, demersurilor, contestațiilor, înaintate de persoane fizice sau juridice, cu privire la finanțarea partidelor politice și a campaniilor electorale, elaborarea proiectelor de hotărâri/scrisori pe marginea acestora. </w:t>
      </w:r>
    </w:p>
    <w:p w:rsidR="00163737" w:rsidRPr="00163737" w:rsidRDefault="00163737" w:rsidP="00163737">
      <w:pPr>
        <w:widowControl w:val="0"/>
        <w:numPr>
          <w:ilvl w:val="0"/>
          <w:numId w:val="27"/>
        </w:numPr>
        <w:tabs>
          <w:tab w:val="left" w:pos="223"/>
        </w:tabs>
        <w:adjustRightInd w:val="0"/>
        <w:spacing w:before="120" w:after="0" w:line="276" w:lineRule="auto"/>
        <w:ind w:left="255" w:hanging="270"/>
        <w:jc w:val="both"/>
        <w:textAlignment w:val="baseline"/>
        <w:rPr>
          <w:rFonts w:ascii="Times New Roman" w:eastAsia="Times New Roman" w:hAnsi="Times New Roman" w:cs="Times New Roman"/>
          <w:sz w:val="24"/>
          <w:szCs w:val="24"/>
          <w:lang w:bidi="en-US"/>
        </w:rPr>
      </w:pPr>
      <w:r w:rsidRPr="00163737">
        <w:rPr>
          <w:rFonts w:ascii="Times New Roman" w:eastAsia="Times New Roman" w:hAnsi="Times New Roman" w:cs="Times New Roman"/>
          <w:sz w:val="24"/>
          <w:szCs w:val="24"/>
          <w:lang w:bidi="en-US"/>
        </w:rPr>
        <w:t xml:space="preserve">Asigurarea întocmirii documentelor ce vizează domeniul finanțării partidelor politice și a campaniilor electorale, precum și monitorizarea respectării acestora. </w:t>
      </w:r>
    </w:p>
    <w:p w:rsidR="00163737" w:rsidRPr="00163737" w:rsidRDefault="00163737" w:rsidP="00163737">
      <w:pPr>
        <w:widowControl w:val="0"/>
        <w:numPr>
          <w:ilvl w:val="0"/>
          <w:numId w:val="27"/>
        </w:numPr>
        <w:tabs>
          <w:tab w:val="left" w:pos="223"/>
        </w:tabs>
        <w:adjustRightInd w:val="0"/>
        <w:spacing w:before="120" w:after="0" w:line="276" w:lineRule="auto"/>
        <w:ind w:left="255" w:hanging="270"/>
        <w:jc w:val="both"/>
        <w:textAlignment w:val="baseline"/>
        <w:rPr>
          <w:rFonts w:ascii="Times New Roman" w:eastAsia="Times New Roman" w:hAnsi="Times New Roman" w:cs="Times New Roman"/>
          <w:sz w:val="24"/>
          <w:szCs w:val="24"/>
          <w:lang w:bidi="en-US"/>
        </w:rPr>
      </w:pPr>
      <w:r w:rsidRPr="00163737">
        <w:rPr>
          <w:rFonts w:ascii="Times New Roman" w:eastAsia="Times New Roman" w:hAnsi="Times New Roman" w:cs="Times New Roman"/>
          <w:sz w:val="24"/>
          <w:szCs w:val="24"/>
          <w:lang w:bidi="en-US"/>
        </w:rPr>
        <w:t xml:space="preserve">Reprezentarea Comisiei Electorale Centrale în procesele contravenționale și administrative </w:t>
      </w:r>
      <w:r w:rsidRPr="00163737">
        <w:rPr>
          <w:rFonts w:ascii="Times New Roman" w:eastAsia="Times New Roman" w:hAnsi="Times New Roman" w:cs="Times New Roman"/>
          <w:sz w:val="24"/>
          <w:szCs w:val="24"/>
          <w:lang w:bidi="en-US"/>
        </w:rPr>
        <w:lastRenderedPageBreak/>
        <w:t xml:space="preserve">aflate pe rol în instanța de judecată, ca urmare a inițierii procedurilor judiciare privind faptele de încălcare a legislației în domeniul finanțării partidelor politice și a campaniilor electorale. </w:t>
      </w:r>
    </w:p>
    <w:p w:rsidR="001677D4" w:rsidRDefault="00163737" w:rsidP="001677D4">
      <w:pPr>
        <w:widowControl w:val="0"/>
        <w:numPr>
          <w:ilvl w:val="0"/>
          <w:numId w:val="27"/>
        </w:numPr>
        <w:tabs>
          <w:tab w:val="left" w:pos="223"/>
        </w:tabs>
        <w:adjustRightInd w:val="0"/>
        <w:spacing w:before="120" w:after="0" w:line="276" w:lineRule="auto"/>
        <w:ind w:left="255" w:hanging="270"/>
        <w:jc w:val="both"/>
        <w:textAlignment w:val="baseline"/>
        <w:rPr>
          <w:rFonts w:ascii="Times New Roman" w:eastAsia="Times New Roman" w:hAnsi="Times New Roman" w:cs="Times New Roman"/>
          <w:sz w:val="24"/>
          <w:szCs w:val="24"/>
          <w:lang w:bidi="en-US"/>
        </w:rPr>
      </w:pPr>
      <w:r w:rsidRPr="00163737">
        <w:rPr>
          <w:rFonts w:ascii="Times New Roman" w:eastAsia="Times New Roman" w:hAnsi="Times New Roman" w:cs="Times New Roman"/>
          <w:sz w:val="24"/>
          <w:szCs w:val="24"/>
          <w:lang w:bidi="en-US"/>
        </w:rPr>
        <w:t>Asigurarea întocmirii și evidenței dosarelor administrative privind hotărârile adoptate de Comisia Electorală Centrală ce vizează fapte de încălcare a legislației cu privire la finanțarea partidelor politice și a campaniilor electorale.</w:t>
      </w:r>
    </w:p>
    <w:p w:rsidR="00163737" w:rsidRPr="00163737" w:rsidRDefault="00163737" w:rsidP="00163737">
      <w:pPr>
        <w:widowControl w:val="0"/>
        <w:tabs>
          <w:tab w:val="left" w:pos="223"/>
        </w:tabs>
        <w:adjustRightInd w:val="0"/>
        <w:spacing w:before="120" w:after="0" w:line="276" w:lineRule="auto"/>
        <w:ind w:left="255"/>
        <w:jc w:val="both"/>
        <w:textAlignment w:val="baseline"/>
        <w:rPr>
          <w:rFonts w:ascii="Times New Roman" w:eastAsia="Times New Roman" w:hAnsi="Times New Roman" w:cs="Times New Roman"/>
          <w:sz w:val="24"/>
          <w:szCs w:val="24"/>
          <w:lang w:bidi="en-US"/>
        </w:rPr>
      </w:pPr>
      <w:bookmarkStart w:id="0" w:name="_GoBack"/>
      <w:bookmarkEnd w:id="0"/>
    </w:p>
    <w:p w:rsidR="004E13B5" w:rsidRDefault="00042E55" w:rsidP="004E13B5">
      <w:pPr>
        <w:spacing w:line="276" w:lineRule="auto"/>
        <w:rPr>
          <w:rFonts w:ascii="Times New Roman" w:eastAsia="Times New Roman" w:hAnsi="Times New Roman" w:cs="Times New Roman"/>
          <w:b/>
          <w:sz w:val="24"/>
          <w:szCs w:val="24"/>
          <w:u w:val="single"/>
          <w:lang w:eastAsia="ro-RO"/>
        </w:rPr>
      </w:pPr>
      <w:r w:rsidRPr="004E13B5">
        <w:rPr>
          <w:rFonts w:ascii="Times New Roman" w:eastAsia="Times New Roman" w:hAnsi="Times New Roman" w:cs="Times New Roman"/>
          <w:b/>
          <w:sz w:val="24"/>
          <w:szCs w:val="24"/>
          <w:u w:val="single"/>
          <w:lang w:eastAsia="ro-RO"/>
        </w:rPr>
        <w:t>Bibliografia</w:t>
      </w:r>
      <w:r w:rsidR="00343686" w:rsidRPr="004E13B5">
        <w:rPr>
          <w:rFonts w:ascii="Times New Roman" w:eastAsia="Times New Roman" w:hAnsi="Times New Roman" w:cs="Times New Roman"/>
          <w:b/>
          <w:sz w:val="24"/>
          <w:szCs w:val="24"/>
          <w:u w:val="single"/>
          <w:lang w:eastAsia="ro-RO"/>
        </w:rPr>
        <w:t>:</w:t>
      </w:r>
    </w:p>
    <w:p w:rsidR="00163737" w:rsidRPr="00163737" w:rsidRDefault="00163737" w:rsidP="00163737">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163737">
        <w:rPr>
          <w:rFonts w:ascii="Times New Roman" w:eastAsia="Times New Roman" w:hAnsi="Times New Roman" w:cs="Times New Roman"/>
          <w:sz w:val="24"/>
          <w:szCs w:val="24"/>
          <w:lang w:bidi="en-US"/>
        </w:rPr>
        <w:t>Codul Electoral al Republicii Moldova nr. 325/2022;</w:t>
      </w:r>
    </w:p>
    <w:p w:rsidR="00163737" w:rsidRPr="00163737" w:rsidRDefault="00163737" w:rsidP="00163737">
      <w:pPr>
        <w:widowControl w:val="0"/>
        <w:numPr>
          <w:ilvl w:val="0"/>
          <w:numId w:val="28"/>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Codul administrativ al Republicii Moldova nr. 116/2018;</w:t>
      </w:r>
    </w:p>
    <w:p w:rsidR="00163737" w:rsidRPr="00163737" w:rsidRDefault="00163737" w:rsidP="00163737">
      <w:pPr>
        <w:widowControl w:val="0"/>
        <w:numPr>
          <w:ilvl w:val="0"/>
          <w:numId w:val="28"/>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Codul contravențional al Republicii Moldova nr. 218/2008;</w:t>
      </w:r>
    </w:p>
    <w:p w:rsidR="00163737" w:rsidRPr="00163737" w:rsidRDefault="00163737" w:rsidP="00163737">
      <w:pPr>
        <w:widowControl w:val="0"/>
        <w:numPr>
          <w:ilvl w:val="0"/>
          <w:numId w:val="28"/>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Legea cu privire la funcția publică și statutul funcționarului public nr. 158/2008;</w:t>
      </w:r>
    </w:p>
    <w:p w:rsidR="00163737" w:rsidRPr="00163737" w:rsidRDefault="00163737" w:rsidP="00163737">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color w:val="000000"/>
          <w:sz w:val="24"/>
          <w:szCs w:val="24"/>
          <w:lang w:bidi="en-US"/>
        </w:rPr>
      </w:pPr>
      <w:r w:rsidRPr="00163737">
        <w:rPr>
          <w:rFonts w:ascii="Times New Roman" w:eastAsia="Times New Roman" w:hAnsi="Times New Roman" w:cs="Times New Roman"/>
          <w:color w:val="000000"/>
          <w:sz w:val="24"/>
          <w:szCs w:val="24"/>
          <w:lang w:bidi="en-US"/>
        </w:rPr>
        <w:t xml:space="preserve">Legea </w:t>
      </w:r>
      <w:proofErr w:type="spellStart"/>
      <w:r w:rsidRPr="00163737">
        <w:rPr>
          <w:rFonts w:ascii="Times New Roman" w:eastAsia="Times New Roman" w:hAnsi="Times New Roman" w:cs="Times New Roman"/>
          <w:color w:val="000000"/>
          <w:sz w:val="24"/>
          <w:szCs w:val="24"/>
          <w:lang w:bidi="en-US"/>
        </w:rPr>
        <w:t>intergrității</w:t>
      </w:r>
      <w:proofErr w:type="spellEnd"/>
      <w:r w:rsidRPr="00163737">
        <w:rPr>
          <w:rFonts w:ascii="Times New Roman" w:eastAsia="Times New Roman" w:hAnsi="Times New Roman" w:cs="Times New Roman"/>
          <w:color w:val="000000"/>
          <w:sz w:val="24"/>
          <w:szCs w:val="24"/>
          <w:lang w:bidi="en-US"/>
        </w:rPr>
        <w:t xml:space="preserve"> nr. 82/2017;</w:t>
      </w:r>
    </w:p>
    <w:p w:rsidR="00163737" w:rsidRPr="00163737" w:rsidRDefault="00163737" w:rsidP="00163737">
      <w:pPr>
        <w:widowControl w:val="0"/>
        <w:numPr>
          <w:ilvl w:val="0"/>
          <w:numId w:val="28"/>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 xml:space="preserve">Legea nr. 133/2011 privind </w:t>
      </w:r>
      <w:proofErr w:type="spellStart"/>
      <w:r w:rsidRPr="00163737">
        <w:rPr>
          <w:rFonts w:ascii="Times New Roman" w:eastAsia="Times New Roman" w:hAnsi="Times New Roman" w:cs="Times New Roman"/>
          <w:sz w:val="24"/>
          <w:szCs w:val="24"/>
        </w:rPr>
        <w:t>protecţia</w:t>
      </w:r>
      <w:proofErr w:type="spellEnd"/>
      <w:r w:rsidRPr="00163737">
        <w:rPr>
          <w:rFonts w:ascii="Times New Roman" w:eastAsia="Times New Roman" w:hAnsi="Times New Roman" w:cs="Times New Roman"/>
          <w:sz w:val="24"/>
          <w:szCs w:val="24"/>
        </w:rPr>
        <w:t xml:space="preserve"> datelor cu caracter personal;</w:t>
      </w:r>
    </w:p>
    <w:p w:rsidR="00163737" w:rsidRPr="00163737" w:rsidRDefault="00163737" w:rsidP="00163737">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Legea privind partidele politice nr. 294/2007;</w:t>
      </w:r>
    </w:p>
    <w:p w:rsidR="00163737" w:rsidRPr="00163737" w:rsidRDefault="00163737" w:rsidP="00163737">
      <w:pPr>
        <w:widowControl w:val="0"/>
        <w:numPr>
          <w:ilvl w:val="0"/>
          <w:numId w:val="28"/>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 xml:space="preserve">Regulamentul privind finanțarea grupurilor de inițiativă și a campaniilor electorale, aprobat prin Hotărârea CEC nr. 1185/2023; </w:t>
      </w:r>
    </w:p>
    <w:p w:rsidR="00163737" w:rsidRPr="00163737" w:rsidRDefault="00163737" w:rsidP="00163737">
      <w:pPr>
        <w:widowControl w:val="0"/>
        <w:numPr>
          <w:ilvl w:val="0"/>
          <w:numId w:val="28"/>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163737">
        <w:rPr>
          <w:rFonts w:ascii="Times New Roman" w:eastAsia="Times New Roman" w:hAnsi="Times New Roman" w:cs="Times New Roman"/>
          <w:sz w:val="24"/>
          <w:szCs w:val="24"/>
        </w:rPr>
        <w:t xml:space="preserve">Regulamentul privind finanțarea activității partidelor politice, aprobat prin Hotărârea CEC nr. 1102/2023.  </w:t>
      </w:r>
    </w:p>
    <w:p w:rsidR="008B606E" w:rsidRPr="004E13B5" w:rsidRDefault="00042E55" w:rsidP="004E13B5">
      <w:pPr>
        <w:widowControl w:val="0"/>
        <w:adjustRightInd w:val="0"/>
        <w:spacing w:before="120" w:after="120" w:line="276" w:lineRule="auto"/>
        <w:jc w:val="both"/>
        <w:textAlignment w:val="baseline"/>
        <w:rPr>
          <w:rFonts w:ascii="Times New Roman" w:eastAsia="Times New Roman" w:hAnsi="Times New Roman" w:cs="Times New Roman"/>
          <w:sz w:val="24"/>
          <w:szCs w:val="24"/>
          <w:lang w:bidi="en-US"/>
        </w:rPr>
      </w:pPr>
      <w:r w:rsidRPr="004E13B5">
        <w:rPr>
          <w:rFonts w:ascii="Times New Roman" w:eastAsia="Times New Roman" w:hAnsi="Times New Roman" w:cs="Times New Roman"/>
          <w:b/>
          <w:sz w:val="24"/>
          <w:szCs w:val="24"/>
          <w:u w:val="single"/>
          <w:lang w:eastAsia="ro-RO"/>
        </w:rPr>
        <w:t>Modalitatea de depunere a dosarului de concurs:</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163737">
        <w:rPr>
          <w:rFonts w:ascii="Times New Roman" w:eastAsia="Times New Roman" w:hAnsi="Times New Roman" w:cs="Times New Roman"/>
          <w:b/>
          <w:color w:val="000000" w:themeColor="text1"/>
          <w:sz w:val="24"/>
          <w:szCs w:val="24"/>
          <w:shd w:val="clear" w:color="auto" w:fill="FFFFFF" w:themeFill="background1"/>
          <w:lang w:eastAsia="ro-RO"/>
        </w:rPr>
        <w:t>18 iunie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8B606E">
      <w:pgSz w:w="11906" w:h="16838"/>
      <w:pgMar w:top="426"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4505250C"/>
    <w:multiLevelType w:val="hybridMultilevel"/>
    <w:tmpl w:val="A0A0BD6C"/>
    <w:lvl w:ilvl="0" w:tplc="6276D472">
      <w:start w:val="5"/>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96E2943"/>
    <w:multiLevelType w:val="hybridMultilevel"/>
    <w:tmpl w:val="53F450F8"/>
    <w:lvl w:ilvl="0" w:tplc="81B8FB1E">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15:restartNumberingAfterBreak="0">
    <w:nsid w:val="6914702D"/>
    <w:multiLevelType w:val="hybridMultilevel"/>
    <w:tmpl w:val="9D1A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128AE"/>
    <w:multiLevelType w:val="hybridMultilevel"/>
    <w:tmpl w:val="87F6872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057CD2"/>
    <w:multiLevelType w:val="multilevel"/>
    <w:tmpl w:val="E564AE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4"/>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4"/>
  </w:num>
  <w:num w:numId="2">
    <w:abstractNumId w:val="18"/>
  </w:num>
  <w:num w:numId="3">
    <w:abstractNumId w:val="18"/>
    <w:lvlOverride w:ilvl="0">
      <w:startOverride w:val="1"/>
    </w:lvlOverride>
  </w:num>
  <w:num w:numId="4">
    <w:abstractNumId w:val="18"/>
    <w:lvlOverride w:ilvl="0">
      <w:startOverride w:val="10"/>
    </w:lvlOverride>
  </w:num>
  <w:num w:numId="5">
    <w:abstractNumId w:val="0"/>
  </w:num>
  <w:num w:numId="6">
    <w:abstractNumId w:val="22"/>
  </w:num>
  <w:num w:numId="7">
    <w:abstractNumId w:val="1"/>
  </w:num>
  <w:num w:numId="8">
    <w:abstractNumId w:val="15"/>
  </w:num>
  <w:num w:numId="9">
    <w:abstractNumId w:val="2"/>
  </w:num>
  <w:num w:numId="10">
    <w:abstractNumId w:val="3"/>
  </w:num>
  <w:num w:numId="11">
    <w:abstractNumId w:val="10"/>
  </w:num>
  <w:num w:numId="12">
    <w:abstractNumId w:val="14"/>
  </w:num>
  <w:num w:numId="13">
    <w:abstractNumId w:val="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7"/>
  </w:num>
  <w:num w:numId="18">
    <w:abstractNumId w:val="5"/>
  </w:num>
  <w:num w:numId="19">
    <w:abstractNumId w:val="20"/>
  </w:num>
  <w:num w:numId="20">
    <w:abstractNumId w:val="19"/>
  </w:num>
  <w:num w:numId="21">
    <w:abstractNumId w:val="23"/>
  </w:num>
  <w:num w:numId="22">
    <w:abstractNumId w:val="6"/>
  </w:num>
  <w:num w:numId="23">
    <w:abstractNumId w:val="8"/>
  </w:num>
  <w:num w:numId="24">
    <w:abstractNumId w:val="4"/>
  </w:num>
  <w:num w:numId="25">
    <w:abstractNumId w:val="11"/>
  </w:num>
  <w:num w:numId="26">
    <w:abstractNumId w:val="13"/>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0528D"/>
    <w:rsid w:val="00111A92"/>
    <w:rsid w:val="00117CF2"/>
    <w:rsid w:val="00163737"/>
    <w:rsid w:val="001677D4"/>
    <w:rsid w:val="00184209"/>
    <w:rsid w:val="001C552D"/>
    <w:rsid w:val="001D4A79"/>
    <w:rsid w:val="002828ED"/>
    <w:rsid w:val="002B4826"/>
    <w:rsid w:val="00343686"/>
    <w:rsid w:val="003C3685"/>
    <w:rsid w:val="00467876"/>
    <w:rsid w:val="00480DAB"/>
    <w:rsid w:val="004E13B5"/>
    <w:rsid w:val="00507ECA"/>
    <w:rsid w:val="005B424F"/>
    <w:rsid w:val="006A1065"/>
    <w:rsid w:val="006A62D4"/>
    <w:rsid w:val="006B1EED"/>
    <w:rsid w:val="007520B1"/>
    <w:rsid w:val="0078596E"/>
    <w:rsid w:val="007C69FB"/>
    <w:rsid w:val="008A3412"/>
    <w:rsid w:val="008B606E"/>
    <w:rsid w:val="00A10749"/>
    <w:rsid w:val="00A25612"/>
    <w:rsid w:val="00AC5693"/>
    <w:rsid w:val="00C8426B"/>
    <w:rsid w:val="00C87B39"/>
    <w:rsid w:val="00D02424"/>
    <w:rsid w:val="00D260FE"/>
    <w:rsid w:val="00D65D02"/>
    <w:rsid w:val="00D87B58"/>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628</Words>
  <Characters>3648</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29</cp:revision>
  <dcterms:created xsi:type="dcterms:W3CDTF">2023-08-08T14:32:00Z</dcterms:created>
  <dcterms:modified xsi:type="dcterms:W3CDTF">2025-06-20T15:18:00Z</dcterms:modified>
</cp:coreProperties>
</file>