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D65D02" w:rsidRDefault="00D02424" w:rsidP="00467876">
      <w:pPr>
        <w:spacing w:after="0" w:line="276" w:lineRule="auto"/>
        <w:rPr>
          <w:rFonts w:ascii="Times New Roman" w:hAnsi="Times New Roman" w:cs="Times New Roman"/>
          <w:sz w:val="24"/>
          <w:szCs w:val="24"/>
        </w:rPr>
      </w:pPr>
      <w:r w:rsidRPr="00343686">
        <w:rPr>
          <w:rFonts w:ascii="Times New Roman" w:hAnsi="Times New Roman" w:cs="Times New Roman"/>
          <w:b/>
          <w:color w:val="000000" w:themeColor="text1"/>
          <w:sz w:val="24"/>
          <w:szCs w:val="24"/>
        </w:rPr>
        <w:t>Consultant</w:t>
      </w:r>
      <w:r w:rsidR="00E703A2">
        <w:rPr>
          <w:rFonts w:ascii="Times New Roman" w:hAnsi="Times New Roman" w:cs="Times New Roman"/>
          <w:b/>
          <w:color w:val="000000" w:themeColor="text1"/>
          <w:sz w:val="24"/>
          <w:szCs w:val="24"/>
        </w:rPr>
        <w:t xml:space="preserve"> superior (1</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10528D" w:rsidRPr="0010528D">
        <w:rPr>
          <w:rFonts w:ascii="Times New Roman" w:hAnsi="Times New Roman" w:cs="Times New Roman"/>
          <w:b/>
          <w:sz w:val="24"/>
          <w:szCs w:val="24"/>
        </w:rPr>
        <w:t xml:space="preserve">supraveghere și control privind finanțarea partidelor politice și a campaniilor electorale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p>
    <w:p w:rsidR="00117CF2" w:rsidRDefault="00117CF2"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Perioada </w:t>
      </w:r>
      <w:r w:rsidR="00467876">
        <w:rPr>
          <w:rFonts w:ascii="Times New Roman" w:hAnsi="Times New Roman" w:cs="Times New Roman"/>
          <w:sz w:val="24"/>
          <w:szCs w:val="24"/>
        </w:rPr>
        <w:t>de</w:t>
      </w:r>
      <w:r>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 </w:t>
      </w:r>
      <w:r w:rsidR="006E1764">
        <w:rPr>
          <w:rFonts w:ascii="Times New Roman" w:hAnsi="Times New Roman" w:cs="Times New Roman"/>
          <w:b/>
          <w:color w:val="000000" w:themeColor="text1"/>
          <w:sz w:val="24"/>
          <w:szCs w:val="24"/>
        </w:rPr>
        <w:t>03 iunie</w:t>
      </w:r>
      <w:r w:rsidR="00467876">
        <w:rPr>
          <w:rFonts w:ascii="Times New Roman" w:hAnsi="Times New Roman" w:cs="Times New Roman"/>
          <w:b/>
          <w:color w:val="000000" w:themeColor="text1"/>
          <w:sz w:val="24"/>
          <w:szCs w:val="24"/>
        </w:rPr>
        <w:t xml:space="preserve"> 2025 – </w:t>
      </w:r>
      <w:r w:rsidR="006E1764">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Pr="00343686">
        <w:rPr>
          <w:rFonts w:ascii="Times New Roman" w:hAnsi="Times New Roman" w:cs="Times New Roman"/>
          <w:b/>
          <w:color w:val="000000" w:themeColor="text1"/>
          <w:sz w:val="24"/>
          <w:szCs w:val="24"/>
        </w:rPr>
        <w:t>.</w:t>
      </w:r>
      <w:bookmarkStart w:id="0" w:name="_GoBack"/>
      <w:bookmarkEnd w:id="0"/>
    </w:p>
    <w:p w:rsidR="001677D4" w:rsidRPr="00343686" w:rsidRDefault="001677D4" w:rsidP="00467876">
      <w:pPr>
        <w:spacing w:after="0" w:line="276" w:lineRule="auto"/>
        <w:rPr>
          <w:rFonts w:ascii="Times New Roman" w:hAnsi="Times New Roman" w:cs="Times New Roman"/>
          <w:b/>
          <w:color w:val="000000" w:themeColor="text1"/>
          <w:sz w:val="24"/>
          <w:szCs w:val="24"/>
        </w:rPr>
      </w:pPr>
    </w:p>
    <w:p w:rsidR="00A10749" w:rsidRDefault="00A10749" w:rsidP="001677D4">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E703A2" w:rsidRPr="00E703A2" w:rsidRDefault="001677D4" w:rsidP="00E703A2">
      <w:pPr>
        <w:spacing w:after="0" w:line="276" w:lineRule="auto"/>
        <w:contextualSpacing/>
        <w:rPr>
          <w:rFonts w:ascii="Times New Roman" w:eastAsia="Times New Roman" w:hAnsi="Times New Roman" w:cs="Times New Roman"/>
          <w:sz w:val="24"/>
          <w:szCs w:val="24"/>
          <w:shd w:val="clear" w:color="auto" w:fill="FFFFFF"/>
          <w:lang w:bidi="en-US"/>
        </w:rPr>
      </w:pPr>
      <w:r w:rsidRPr="001677D4">
        <w:rPr>
          <w:rStyle w:val="Robust"/>
          <w:rFonts w:ascii="Times New Roman" w:hAnsi="Times New Roman" w:cs="Times New Roman"/>
          <w:sz w:val="24"/>
          <w:szCs w:val="24"/>
          <w:u w:val="single"/>
        </w:rPr>
        <w:t>Studii:</w:t>
      </w:r>
      <w:r w:rsidRPr="001677D4">
        <w:rPr>
          <w:rStyle w:val="Robust"/>
          <w:rFonts w:ascii="Times New Roman" w:hAnsi="Times New Roman" w:cs="Times New Roman"/>
          <w:sz w:val="24"/>
          <w:szCs w:val="24"/>
        </w:rPr>
        <w:t xml:space="preserve"> </w:t>
      </w:r>
      <w:r w:rsidR="00E703A2" w:rsidRPr="00E703A2">
        <w:rPr>
          <w:rFonts w:ascii="Times New Roman" w:eastAsia="Times New Roman" w:hAnsi="Times New Roman" w:cs="Times New Roman"/>
          <w:sz w:val="24"/>
          <w:szCs w:val="24"/>
          <w:lang w:bidi="en-US"/>
        </w:rPr>
        <w:t xml:space="preserve">superioare de </w:t>
      </w:r>
      <w:proofErr w:type="spellStart"/>
      <w:r w:rsidR="00E703A2" w:rsidRPr="00E703A2">
        <w:rPr>
          <w:rFonts w:ascii="Times New Roman" w:eastAsia="Times New Roman" w:hAnsi="Times New Roman" w:cs="Times New Roman"/>
          <w:sz w:val="24"/>
          <w:szCs w:val="24"/>
          <w:lang w:bidi="en-US"/>
        </w:rPr>
        <w:t>licenţă</w:t>
      </w:r>
      <w:proofErr w:type="spellEnd"/>
      <w:r w:rsidR="00E703A2" w:rsidRPr="00E703A2">
        <w:rPr>
          <w:rFonts w:ascii="Times New Roman" w:eastAsia="Times New Roman" w:hAnsi="Times New Roman" w:cs="Times New Roman"/>
          <w:sz w:val="24"/>
          <w:szCs w:val="24"/>
          <w:lang w:bidi="en-US"/>
        </w:rPr>
        <w:t xml:space="preserve"> sau echivalent</w:t>
      </w:r>
      <w:r w:rsidR="00E703A2" w:rsidRPr="00E703A2">
        <w:rPr>
          <w:rFonts w:ascii="Times New Roman" w:eastAsia="Times New Roman" w:hAnsi="Times New Roman" w:cs="Times New Roman"/>
          <w:sz w:val="24"/>
          <w:szCs w:val="24"/>
          <w:shd w:val="clear" w:color="auto" w:fill="FFFFFF"/>
          <w:lang w:bidi="en-US"/>
        </w:rPr>
        <w:t xml:space="preserve"> în domeniul</w:t>
      </w:r>
      <w:r w:rsidR="00E703A2" w:rsidRPr="00E703A2">
        <w:rPr>
          <w:rFonts w:ascii="Times New Roman" w:eastAsia="Times New Roman" w:hAnsi="Times New Roman" w:cs="Times New Roman"/>
          <w:sz w:val="24"/>
          <w:szCs w:val="24"/>
          <w:lang w:bidi="en-US"/>
        </w:rPr>
        <w:t xml:space="preserve"> economic, financiar sau drept</w:t>
      </w:r>
      <w:r w:rsidR="00E703A2" w:rsidRPr="00E703A2">
        <w:rPr>
          <w:rFonts w:ascii="Times New Roman" w:eastAsia="Times New Roman" w:hAnsi="Times New Roman" w:cs="Times New Roman"/>
          <w:sz w:val="24"/>
          <w:szCs w:val="24"/>
          <w:shd w:val="clear" w:color="auto" w:fill="FFFFFF"/>
          <w:lang w:bidi="en-US"/>
        </w:rPr>
        <w:t xml:space="preserve">. </w:t>
      </w:r>
    </w:p>
    <w:p w:rsidR="001677D4" w:rsidRPr="00480DAB" w:rsidRDefault="001677D4" w:rsidP="00480DAB">
      <w:pPr>
        <w:spacing w:after="0" w:line="276" w:lineRule="auto"/>
        <w:ind w:left="709" w:hanging="709"/>
        <w:rPr>
          <w:rStyle w:val="Robust"/>
          <w:rFonts w:ascii="Times New Roman" w:hAnsi="Times New Roman" w:cs="Times New Roman"/>
          <w:b w:val="0"/>
          <w:bCs w:val="0"/>
          <w:sz w:val="24"/>
          <w:szCs w:val="24"/>
          <w:shd w:val="clear" w:color="auto" w:fill="FFFFFF"/>
        </w:rPr>
      </w:pPr>
    </w:p>
    <w:p w:rsidR="00F67830" w:rsidRPr="001677D4" w:rsidRDefault="00F67830" w:rsidP="00F67830">
      <w:pPr>
        <w:spacing w:after="0" w:line="276" w:lineRule="auto"/>
        <w:contextualSpacing/>
        <w:rPr>
          <w:rStyle w:val="Robust"/>
          <w:rFonts w:ascii="Times New Roman" w:hAnsi="Times New Roman" w:cs="Times New Roman"/>
          <w:sz w:val="24"/>
          <w:szCs w:val="24"/>
          <w:u w:val="single"/>
        </w:rPr>
      </w:pPr>
      <w:r w:rsidRPr="001677D4">
        <w:rPr>
          <w:rStyle w:val="Robust"/>
          <w:rFonts w:ascii="Times New Roman" w:hAnsi="Times New Roman" w:cs="Times New Roman"/>
          <w:sz w:val="24"/>
          <w:szCs w:val="24"/>
          <w:u w:val="single"/>
        </w:rPr>
        <w:t xml:space="preserve">Cerințe specifice minime: </w:t>
      </w:r>
    </w:p>
    <w:p w:rsidR="001A48CC" w:rsidRPr="001A48CC" w:rsidRDefault="001A48CC" w:rsidP="001A48CC">
      <w:pPr>
        <w:spacing w:after="0" w:line="276" w:lineRule="auto"/>
        <w:contextualSpacing/>
        <w:rPr>
          <w:rFonts w:ascii="Times New Roman" w:hAnsi="Times New Roman" w:cs="Times New Roman"/>
          <w:b/>
          <w:bCs/>
          <w:sz w:val="24"/>
          <w:szCs w:val="24"/>
        </w:rPr>
      </w:pPr>
      <w:r w:rsidRPr="001A48CC">
        <w:rPr>
          <w:rFonts w:ascii="Times New Roman" w:hAnsi="Times New Roman" w:cs="Times New Roman"/>
          <w:sz w:val="24"/>
          <w:szCs w:val="24"/>
        </w:rPr>
        <w:t xml:space="preserve">- 1 an de </w:t>
      </w:r>
      <w:proofErr w:type="spellStart"/>
      <w:r w:rsidRPr="001A48CC">
        <w:rPr>
          <w:rFonts w:ascii="Times New Roman" w:hAnsi="Times New Roman" w:cs="Times New Roman"/>
          <w:sz w:val="24"/>
          <w:szCs w:val="24"/>
        </w:rPr>
        <w:t>experienţă</w:t>
      </w:r>
      <w:proofErr w:type="spellEnd"/>
      <w:r w:rsidRPr="001A48CC">
        <w:rPr>
          <w:rFonts w:ascii="Times New Roman" w:hAnsi="Times New Roman" w:cs="Times New Roman"/>
          <w:sz w:val="24"/>
          <w:szCs w:val="24"/>
        </w:rPr>
        <w:t xml:space="preserve"> profesională în domeniul drept, economie sau finanțe; </w:t>
      </w:r>
    </w:p>
    <w:p w:rsidR="001A48CC" w:rsidRPr="001A48CC" w:rsidRDefault="001A48CC" w:rsidP="001A48CC">
      <w:pPr>
        <w:spacing w:after="0" w:line="276" w:lineRule="auto"/>
        <w:contextualSpacing/>
        <w:rPr>
          <w:rFonts w:ascii="Times New Roman" w:hAnsi="Times New Roman" w:cs="Times New Roman"/>
          <w:sz w:val="24"/>
          <w:szCs w:val="24"/>
        </w:rPr>
      </w:pPr>
      <w:r w:rsidRPr="001A48CC">
        <w:rPr>
          <w:rFonts w:ascii="Times New Roman" w:hAnsi="Times New Roman" w:cs="Times New Roman"/>
          <w:sz w:val="24"/>
          <w:szCs w:val="24"/>
        </w:rPr>
        <w:t>- cunoașterea legislației cu privire la finanțarea partidelor politice și a campaniilor electorale;</w:t>
      </w:r>
    </w:p>
    <w:p w:rsidR="001A48CC" w:rsidRPr="001A48CC" w:rsidRDefault="001A48CC" w:rsidP="001A48CC">
      <w:pPr>
        <w:spacing w:after="0" w:line="276" w:lineRule="auto"/>
        <w:contextualSpacing/>
        <w:rPr>
          <w:rFonts w:ascii="Times New Roman" w:hAnsi="Times New Roman" w:cs="Times New Roman"/>
          <w:sz w:val="24"/>
          <w:szCs w:val="24"/>
        </w:rPr>
      </w:pPr>
      <w:r w:rsidRPr="001A48CC">
        <w:rPr>
          <w:rFonts w:ascii="Times New Roman" w:hAnsi="Times New Roman" w:cs="Times New Roman"/>
          <w:sz w:val="24"/>
          <w:szCs w:val="24"/>
        </w:rPr>
        <w:t xml:space="preserve">- </w:t>
      </w:r>
      <w:proofErr w:type="spellStart"/>
      <w:r w:rsidRPr="001A48CC">
        <w:rPr>
          <w:rFonts w:ascii="Times New Roman" w:hAnsi="Times New Roman" w:cs="Times New Roman"/>
          <w:sz w:val="24"/>
          <w:szCs w:val="24"/>
        </w:rPr>
        <w:t>cunoaşterea</w:t>
      </w:r>
      <w:proofErr w:type="spellEnd"/>
      <w:r w:rsidRPr="001A48CC">
        <w:rPr>
          <w:rFonts w:ascii="Times New Roman" w:hAnsi="Times New Roman" w:cs="Times New Roman"/>
          <w:sz w:val="24"/>
          <w:szCs w:val="24"/>
        </w:rPr>
        <w:t xml:space="preserve"> unei limbi de </w:t>
      </w:r>
      <w:proofErr w:type="spellStart"/>
      <w:r w:rsidRPr="001A48CC">
        <w:rPr>
          <w:rFonts w:ascii="Times New Roman" w:hAnsi="Times New Roman" w:cs="Times New Roman"/>
          <w:sz w:val="24"/>
          <w:szCs w:val="24"/>
        </w:rPr>
        <w:t>circulaţie</w:t>
      </w:r>
      <w:proofErr w:type="spellEnd"/>
      <w:r w:rsidRPr="001A48CC">
        <w:rPr>
          <w:rFonts w:ascii="Times New Roman" w:hAnsi="Times New Roman" w:cs="Times New Roman"/>
          <w:sz w:val="24"/>
          <w:szCs w:val="24"/>
        </w:rPr>
        <w:t xml:space="preserve"> </w:t>
      </w:r>
      <w:proofErr w:type="spellStart"/>
      <w:r w:rsidRPr="001A48CC">
        <w:rPr>
          <w:rFonts w:ascii="Times New Roman" w:hAnsi="Times New Roman" w:cs="Times New Roman"/>
          <w:sz w:val="24"/>
          <w:szCs w:val="24"/>
        </w:rPr>
        <w:t>internaţională</w:t>
      </w:r>
      <w:proofErr w:type="spellEnd"/>
      <w:r w:rsidRPr="001A48CC">
        <w:rPr>
          <w:rFonts w:ascii="Times New Roman" w:hAnsi="Times New Roman" w:cs="Times New Roman"/>
          <w:sz w:val="24"/>
          <w:szCs w:val="24"/>
        </w:rPr>
        <w:t xml:space="preserve"> (nivel B1); </w:t>
      </w:r>
    </w:p>
    <w:p w:rsidR="001A48CC" w:rsidRPr="001A48CC" w:rsidRDefault="001A48CC" w:rsidP="001A48CC">
      <w:pPr>
        <w:spacing w:after="0" w:line="276" w:lineRule="auto"/>
        <w:contextualSpacing/>
        <w:rPr>
          <w:rFonts w:ascii="Times New Roman" w:hAnsi="Times New Roman" w:cs="Times New Roman"/>
          <w:sz w:val="24"/>
          <w:szCs w:val="24"/>
        </w:rPr>
      </w:pPr>
      <w:r w:rsidRPr="001A48CC">
        <w:rPr>
          <w:rFonts w:ascii="Times New Roman" w:hAnsi="Times New Roman" w:cs="Times New Roman"/>
          <w:sz w:val="24"/>
          <w:szCs w:val="24"/>
        </w:rPr>
        <w:t xml:space="preserve">- posedă cunoștințe avansate de operare pe calculator (Word, Excel, Power Point, Internet, </w:t>
      </w:r>
      <w:proofErr w:type="spellStart"/>
      <w:r w:rsidRPr="001A48CC">
        <w:rPr>
          <w:rFonts w:ascii="Times New Roman" w:hAnsi="Times New Roman" w:cs="Times New Roman"/>
          <w:sz w:val="24"/>
          <w:szCs w:val="24"/>
        </w:rPr>
        <w:t>poşta</w:t>
      </w:r>
      <w:proofErr w:type="spellEnd"/>
      <w:r w:rsidRPr="001A48CC">
        <w:rPr>
          <w:rFonts w:ascii="Times New Roman" w:hAnsi="Times New Roman" w:cs="Times New Roman"/>
          <w:sz w:val="24"/>
          <w:szCs w:val="24"/>
        </w:rPr>
        <w:t xml:space="preserve"> electronică etc.).</w:t>
      </w:r>
    </w:p>
    <w:p w:rsidR="001677D4" w:rsidRDefault="001677D4"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p>
    <w:p w:rsidR="004E13B5" w:rsidRPr="001677D4" w:rsidRDefault="005B424F" w:rsidP="001677D4">
      <w:pPr>
        <w:widowControl w:val="0"/>
        <w:adjustRightInd w:val="0"/>
        <w:spacing w:after="0" w:line="276"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001677D4">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72688C" w:rsidRPr="0072688C" w:rsidRDefault="0072688C" w:rsidP="0072688C">
      <w:pPr>
        <w:widowControl w:val="0"/>
        <w:numPr>
          <w:ilvl w:val="0"/>
          <w:numId w:val="29"/>
        </w:numPr>
        <w:tabs>
          <w:tab w:val="left" w:pos="-15"/>
        </w:tabs>
        <w:adjustRightInd w:val="0"/>
        <w:spacing w:before="120" w:after="120" w:line="276" w:lineRule="auto"/>
        <w:ind w:left="270" w:hanging="270"/>
        <w:contextualSpacing/>
        <w:jc w:val="both"/>
        <w:textAlignment w:val="baseline"/>
        <w:rPr>
          <w:rFonts w:ascii="Times New Roman" w:eastAsia="Times New Roman" w:hAnsi="Times New Roman" w:cs="Times New Roman"/>
          <w:sz w:val="24"/>
          <w:szCs w:val="24"/>
          <w:lang w:bidi="en-US"/>
        </w:rPr>
      </w:pPr>
      <w:r w:rsidRPr="0072688C">
        <w:rPr>
          <w:rFonts w:ascii="Times New Roman" w:eastAsia="Times New Roman" w:hAnsi="Times New Roman" w:cs="Times New Roman"/>
          <w:sz w:val="24"/>
          <w:szCs w:val="24"/>
          <w:lang w:bidi="en-US"/>
        </w:rPr>
        <w:t xml:space="preserve">Participarea la acțiunile de control privind finanțarea campaniilor electorale ale concurenților electorali partide politice, înregistrate pentru participare la alegerile parlamentare, prezidențiale, locale generale și locale noi, sau ale participanților la referendumuri de orice nivel, în conformitate cu metodologia aprobată de Comisia Electorală Centrală.  </w:t>
      </w:r>
    </w:p>
    <w:p w:rsidR="0072688C" w:rsidRPr="0072688C" w:rsidRDefault="0072688C" w:rsidP="0072688C">
      <w:pPr>
        <w:widowControl w:val="0"/>
        <w:numPr>
          <w:ilvl w:val="0"/>
          <w:numId w:val="29"/>
        </w:numPr>
        <w:tabs>
          <w:tab w:val="left" w:pos="255"/>
        </w:tabs>
        <w:adjustRightInd w:val="0"/>
        <w:spacing w:before="120" w:after="120" w:line="276" w:lineRule="auto"/>
        <w:ind w:left="270" w:hanging="270"/>
        <w:contextualSpacing/>
        <w:jc w:val="both"/>
        <w:textAlignment w:val="baseline"/>
        <w:rPr>
          <w:rFonts w:ascii="Times New Roman" w:eastAsia="Times New Roman" w:hAnsi="Times New Roman" w:cs="Times New Roman"/>
          <w:sz w:val="24"/>
          <w:szCs w:val="24"/>
          <w:lang w:bidi="en-US"/>
        </w:rPr>
      </w:pPr>
      <w:r w:rsidRPr="0072688C">
        <w:rPr>
          <w:rFonts w:ascii="Times New Roman" w:eastAsia="Times New Roman" w:hAnsi="Times New Roman" w:cs="Times New Roman"/>
          <w:sz w:val="24"/>
          <w:szCs w:val="24"/>
          <w:lang w:bidi="en-US"/>
        </w:rPr>
        <w:t xml:space="preserve">Aplicarea metodologiei privind analiza, supravegherea și controlul finanțării partidelor politice și a campaniilor electorale.  </w:t>
      </w:r>
    </w:p>
    <w:p w:rsidR="0072688C" w:rsidRPr="0072688C" w:rsidRDefault="0072688C" w:rsidP="0072688C">
      <w:pPr>
        <w:widowControl w:val="0"/>
        <w:numPr>
          <w:ilvl w:val="0"/>
          <w:numId w:val="29"/>
        </w:numPr>
        <w:tabs>
          <w:tab w:val="left" w:pos="255"/>
        </w:tabs>
        <w:adjustRightInd w:val="0"/>
        <w:spacing w:before="120" w:after="120" w:line="276" w:lineRule="auto"/>
        <w:ind w:left="270" w:hanging="270"/>
        <w:contextualSpacing/>
        <w:jc w:val="both"/>
        <w:textAlignment w:val="baseline"/>
        <w:rPr>
          <w:rFonts w:ascii="Times New Roman" w:eastAsia="Times New Roman" w:hAnsi="Times New Roman" w:cs="Times New Roman"/>
          <w:sz w:val="24"/>
          <w:szCs w:val="24"/>
          <w:lang w:bidi="en-US"/>
        </w:rPr>
      </w:pPr>
      <w:r w:rsidRPr="0072688C">
        <w:rPr>
          <w:rFonts w:ascii="Times New Roman" w:eastAsia="Times New Roman" w:hAnsi="Times New Roman" w:cs="Times New Roman"/>
          <w:sz w:val="24"/>
          <w:szCs w:val="24"/>
          <w:lang w:bidi="en-US"/>
        </w:rPr>
        <w:t xml:space="preserve">Elaborarea proiectelor de documente și acte normative în domeniul de competență atribuit, ca urmare a activității de analiză, supraveghere și control al finanțării campaniilor electorale ale concurenților electorali și ale participanților la referendum. </w:t>
      </w:r>
    </w:p>
    <w:p w:rsidR="0072688C" w:rsidRPr="0072688C" w:rsidRDefault="0072688C" w:rsidP="0072688C">
      <w:pPr>
        <w:widowControl w:val="0"/>
        <w:numPr>
          <w:ilvl w:val="0"/>
          <w:numId w:val="29"/>
        </w:numPr>
        <w:tabs>
          <w:tab w:val="left" w:pos="255"/>
        </w:tabs>
        <w:adjustRightInd w:val="0"/>
        <w:spacing w:before="120" w:after="120" w:line="276" w:lineRule="auto"/>
        <w:ind w:left="270" w:hanging="270"/>
        <w:contextualSpacing/>
        <w:jc w:val="both"/>
        <w:textAlignment w:val="baseline"/>
        <w:rPr>
          <w:rFonts w:ascii="Times New Roman" w:eastAsia="Times New Roman" w:hAnsi="Times New Roman" w:cs="Times New Roman"/>
          <w:sz w:val="24"/>
          <w:szCs w:val="24"/>
          <w:lang w:bidi="en-US"/>
        </w:rPr>
      </w:pPr>
      <w:r w:rsidRPr="0072688C">
        <w:rPr>
          <w:rFonts w:ascii="Times New Roman" w:eastAsia="Times New Roman" w:hAnsi="Times New Roman" w:cs="Times New Roman"/>
          <w:sz w:val="24"/>
          <w:szCs w:val="24"/>
          <w:lang w:bidi="en-US"/>
        </w:rPr>
        <w:t xml:space="preserve">Colaborarea cu subdiviziunile și persoanele din cadrul Comisiei Electorale Centrale, iar în caz de împuternicire corespunzătoare, și cu alte persoane sau instituții din afara Comisiei Electorale </w:t>
      </w:r>
      <w:r w:rsidRPr="0072688C">
        <w:rPr>
          <w:rFonts w:ascii="Times New Roman" w:eastAsia="Times New Roman" w:hAnsi="Times New Roman" w:cs="Times New Roman"/>
          <w:sz w:val="24"/>
          <w:szCs w:val="24"/>
          <w:lang w:bidi="en-US"/>
        </w:rPr>
        <w:lastRenderedPageBreak/>
        <w:t xml:space="preserve">Centrale, pentru documentarea cazurilor de încălcare a legislației cu privire la finanțarea partidelor politice și a campaniilor electorale.   </w:t>
      </w:r>
    </w:p>
    <w:p w:rsidR="001677D4" w:rsidRDefault="0072688C" w:rsidP="0072688C">
      <w:pPr>
        <w:widowControl w:val="0"/>
        <w:numPr>
          <w:ilvl w:val="0"/>
          <w:numId w:val="29"/>
        </w:numPr>
        <w:tabs>
          <w:tab w:val="left" w:pos="0"/>
          <w:tab w:val="left" w:pos="223"/>
        </w:tabs>
        <w:adjustRightInd w:val="0"/>
        <w:spacing w:before="120" w:after="0" w:line="276" w:lineRule="auto"/>
        <w:ind w:left="270" w:hanging="270"/>
        <w:contextualSpacing/>
        <w:jc w:val="both"/>
        <w:textAlignment w:val="baseline"/>
        <w:rPr>
          <w:rFonts w:ascii="Times New Roman" w:eastAsia="Times New Roman" w:hAnsi="Times New Roman" w:cs="Times New Roman"/>
          <w:sz w:val="24"/>
          <w:szCs w:val="24"/>
          <w:lang w:bidi="en-US"/>
        </w:rPr>
      </w:pPr>
      <w:r w:rsidRPr="0072688C">
        <w:rPr>
          <w:rFonts w:ascii="Times New Roman" w:eastAsia="Times New Roman" w:hAnsi="Times New Roman" w:cs="Times New Roman"/>
          <w:sz w:val="24"/>
          <w:szCs w:val="24"/>
          <w:lang w:bidi="en-US"/>
        </w:rPr>
        <w:t xml:space="preserve">Asigurarea documentării tuturor cazurilor înregistrate de încălcare sau potențială încălcare a legislației cu privire la finanțarea partidelor politice și a campaniilor electorale.  </w:t>
      </w:r>
    </w:p>
    <w:p w:rsidR="0072688C" w:rsidRPr="0072688C" w:rsidRDefault="0072688C" w:rsidP="0072688C">
      <w:pPr>
        <w:widowControl w:val="0"/>
        <w:tabs>
          <w:tab w:val="left" w:pos="0"/>
          <w:tab w:val="left" w:pos="223"/>
        </w:tabs>
        <w:adjustRightInd w:val="0"/>
        <w:spacing w:before="120" w:after="0" w:line="276" w:lineRule="auto"/>
        <w:ind w:left="270"/>
        <w:contextualSpacing/>
        <w:jc w:val="both"/>
        <w:textAlignment w:val="baseline"/>
        <w:rPr>
          <w:rFonts w:ascii="Times New Roman" w:eastAsia="Times New Roman" w:hAnsi="Times New Roman" w:cs="Times New Roman"/>
          <w:sz w:val="24"/>
          <w:szCs w:val="24"/>
          <w:lang w:bidi="en-US"/>
        </w:rPr>
      </w:pPr>
    </w:p>
    <w:p w:rsidR="004E13B5" w:rsidRDefault="00042E55" w:rsidP="004E13B5">
      <w:pPr>
        <w:spacing w:line="276" w:lineRule="auto"/>
        <w:rPr>
          <w:rFonts w:ascii="Times New Roman" w:eastAsia="Times New Roman" w:hAnsi="Times New Roman" w:cs="Times New Roman"/>
          <w:b/>
          <w:sz w:val="24"/>
          <w:szCs w:val="24"/>
          <w:u w:val="single"/>
          <w:lang w:eastAsia="ro-RO"/>
        </w:rPr>
      </w:pPr>
      <w:r w:rsidRPr="004E13B5">
        <w:rPr>
          <w:rFonts w:ascii="Times New Roman" w:eastAsia="Times New Roman" w:hAnsi="Times New Roman" w:cs="Times New Roman"/>
          <w:b/>
          <w:sz w:val="24"/>
          <w:szCs w:val="24"/>
          <w:u w:val="single"/>
          <w:lang w:eastAsia="ro-RO"/>
        </w:rPr>
        <w:t>Bibliografia</w:t>
      </w:r>
      <w:r w:rsidR="00343686" w:rsidRPr="004E13B5">
        <w:rPr>
          <w:rFonts w:ascii="Times New Roman" w:eastAsia="Times New Roman" w:hAnsi="Times New Roman" w:cs="Times New Roman"/>
          <w:b/>
          <w:sz w:val="24"/>
          <w:szCs w:val="24"/>
          <w:u w:val="single"/>
          <w:lang w:eastAsia="ro-RO"/>
        </w:rPr>
        <w:t>:</w:t>
      </w:r>
    </w:p>
    <w:p w:rsidR="0072688C" w:rsidRPr="0072688C" w:rsidRDefault="0072688C" w:rsidP="0072688C">
      <w:pPr>
        <w:pStyle w:val="Listparagraf"/>
        <w:numPr>
          <w:ilvl w:val="0"/>
          <w:numId w:val="30"/>
        </w:numPr>
        <w:spacing w:before="120" w:after="120" w:line="276" w:lineRule="auto"/>
        <w:jc w:val="both"/>
        <w:rPr>
          <w:rFonts w:ascii="Times New Roman" w:hAnsi="Times New Roman" w:cs="Times New Roman"/>
          <w:sz w:val="24"/>
          <w:szCs w:val="24"/>
        </w:rPr>
      </w:pPr>
      <w:r w:rsidRPr="0072688C">
        <w:rPr>
          <w:rFonts w:ascii="Times New Roman" w:hAnsi="Times New Roman" w:cs="Times New Roman"/>
          <w:sz w:val="24"/>
          <w:szCs w:val="24"/>
        </w:rPr>
        <w:t>Codul Electoral al Republicii Moldova nr. 325/2022;</w:t>
      </w:r>
    </w:p>
    <w:p w:rsidR="0072688C" w:rsidRPr="0072688C" w:rsidRDefault="0072688C" w:rsidP="0072688C">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Codul administrativ al Republicii Moldova nr. 116/2018;</w:t>
      </w:r>
    </w:p>
    <w:p w:rsidR="0072688C" w:rsidRPr="0072688C" w:rsidRDefault="0072688C" w:rsidP="0072688C">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Codul contravențional al Republicii Moldova nr. 218/2008;</w:t>
      </w:r>
    </w:p>
    <w:p w:rsidR="0072688C" w:rsidRPr="0072688C" w:rsidRDefault="0072688C" w:rsidP="0072688C">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Legea cu privire la funcția publică și statutul funcționarului public nr. 158/2008;</w:t>
      </w:r>
    </w:p>
    <w:p w:rsidR="0072688C" w:rsidRPr="0072688C" w:rsidRDefault="0072688C" w:rsidP="0072688C">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Legea nr. 294/2007 privind partidele politice;</w:t>
      </w:r>
    </w:p>
    <w:p w:rsidR="0072688C" w:rsidRPr="0072688C" w:rsidRDefault="0072688C" w:rsidP="0072688C">
      <w:pPr>
        <w:pStyle w:val="Listparagraf"/>
        <w:numPr>
          <w:ilvl w:val="0"/>
          <w:numId w:val="30"/>
        </w:numPr>
        <w:spacing w:before="120" w:after="120" w:line="276" w:lineRule="auto"/>
        <w:jc w:val="both"/>
        <w:rPr>
          <w:rFonts w:ascii="Times New Roman" w:hAnsi="Times New Roman" w:cs="Times New Roman"/>
          <w:color w:val="000000" w:themeColor="text1"/>
          <w:sz w:val="24"/>
          <w:szCs w:val="24"/>
        </w:rPr>
      </w:pPr>
      <w:r w:rsidRPr="0072688C">
        <w:rPr>
          <w:rFonts w:ascii="Times New Roman" w:hAnsi="Times New Roman" w:cs="Times New Roman"/>
          <w:color w:val="000000" w:themeColor="text1"/>
          <w:sz w:val="24"/>
          <w:szCs w:val="24"/>
        </w:rPr>
        <w:t xml:space="preserve">Legea </w:t>
      </w:r>
      <w:proofErr w:type="spellStart"/>
      <w:r w:rsidRPr="0072688C">
        <w:rPr>
          <w:rFonts w:ascii="Times New Roman" w:hAnsi="Times New Roman" w:cs="Times New Roman"/>
          <w:color w:val="000000" w:themeColor="text1"/>
          <w:sz w:val="24"/>
          <w:szCs w:val="24"/>
        </w:rPr>
        <w:t>intergrității</w:t>
      </w:r>
      <w:proofErr w:type="spellEnd"/>
      <w:r w:rsidRPr="0072688C">
        <w:rPr>
          <w:rFonts w:ascii="Times New Roman" w:hAnsi="Times New Roman" w:cs="Times New Roman"/>
          <w:color w:val="000000" w:themeColor="text1"/>
          <w:sz w:val="24"/>
          <w:szCs w:val="24"/>
        </w:rPr>
        <w:t xml:space="preserve"> nr. 82/2017; </w:t>
      </w:r>
    </w:p>
    <w:p w:rsidR="0072688C" w:rsidRPr="0072688C" w:rsidRDefault="0072688C" w:rsidP="0072688C">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 xml:space="preserve">Regulamentul privind finanțarea grupurilor de inițiativă și a campaniilor electorale, aprobat prin Hotărârea CEC nr. 1185/2023; </w:t>
      </w:r>
    </w:p>
    <w:p w:rsidR="0072688C" w:rsidRPr="0072688C" w:rsidRDefault="0072688C" w:rsidP="004E13B5">
      <w:pPr>
        <w:pStyle w:val="Listparagraf"/>
        <w:numPr>
          <w:ilvl w:val="0"/>
          <w:numId w:val="30"/>
        </w:numPr>
        <w:shd w:val="clear" w:color="auto" w:fill="FFFFFF"/>
        <w:spacing w:before="100" w:beforeAutospacing="1" w:after="100" w:afterAutospacing="1" w:line="276" w:lineRule="auto"/>
        <w:jc w:val="both"/>
        <w:rPr>
          <w:rFonts w:ascii="Times New Roman" w:hAnsi="Times New Roman" w:cs="Times New Roman"/>
          <w:sz w:val="24"/>
          <w:szCs w:val="24"/>
        </w:rPr>
      </w:pPr>
      <w:r w:rsidRPr="0072688C">
        <w:rPr>
          <w:rFonts w:ascii="Times New Roman" w:hAnsi="Times New Roman" w:cs="Times New Roman"/>
          <w:sz w:val="24"/>
          <w:szCs w:val="24"/>
        </w:rPr>
        <w:t>Regulamentul privind</w:t>
      </w:r>
      <w:r w:rsidRPr="0072688C">
        <w:rPr>
          <w:rFonts w:ascii="Times New Roman" w:hAnsi="Times New Roman" w:cs="Times New Roman"/>
          <w:b/>
          <w:bCs/>
          <w:sz w:val="24"/>
          <w:szCs w:val="24"/>
        </w:rPr>
        <w:t> </w:t>
      </w:r>
      <w:r w:rsidRPr="0072688C">
        <w:rPr>
          <w:rFonts w:ascii="Times New Roman" w:hAnsi="Times New Roman" w:cs="Times New Roman"/>
          <w:sz w:val="24"/>
          <w:szCs w:val="24"/>
        </w:rPr>
        <w:t xml:space="preserve">finanțarea activității partidelor politice, aprobat prin Hotărârea CEC nr. 1102/2023. </w:t>
      </w:r>
    </w:p>
    <w:p w:rsidR="008B606E" w:rsidRPr="004E13B5" w:rsidRDefault="00042E55" w:rsidP="004E13B5">
      <w:pPr>
        <w:widowControl w:val="0"/>
        <w:adjustRightInd w:val="0"/>
        <w:spacing w:before="120" w:after="120" w:line="276" w:lineRule="auto"/>
        <w:jc w:val="both"/>
        <w:textAlignment w:val="baseline"/>
        <w:rPr>
          <w:rFonts w:ascii="Times New Roman" w:eastAsia="Times New Roman" w:hAnsi="Times New Roman" w:cs="Times New Roman"/>
          <w:sz w:val="24"/>
          <w:szCs w:val="24"/>
          <w:lang w:bidi="en-US"/>
        </w:rPr>
      </w:pPr>
      <w:r w:rsidRPr="004E13B5">
        <w:rPr>
          <w:rFonts w:ascii="Times New Roman" w:eastAsia="Times New Roman" w:hAnsi="Times New Roman" w:cs="Times New Roman"/>
          <w:b/>
          <w:sz w:val="24"/>
          <w:szCs w:val="24"/>
          <w:u w:val="single"/>
          <w:lang w:eastAsia="ro-RO"/>
        </w:rPr>
        <w:t>Modalitatea de depunere a dosarului de concurs:</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6E1764">
        <w:rPr>
          <w:rFonts w:ascii="Times New Roman" w:eastAsia="Times New Roman" w:hAnsi="Times New Roman" w:cs="Times New Roman"/>
          <w:b/>
          <w:color w:val="000000" w:themeColor="text1"/>
          <w:sz w:val="24"/>
          <w:szCs w:val="24"/>
          <w:shd w:val="clear" w:color="auto" w:fill="FFFFFF" w:themeFill="background1"/>
          <w:lang w:eastAsia="ro-RO"/>
        </w:rPr>
        <w:t>18 iunie</w:t>
      </w:r>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8B606E">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250A0"/>
    <w:multiLevelType w:val="hybridMultilevel"/>
    <w:tmpl w:val="AD8ED26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2F2023"/>
    <w:multiLevelType w:val="hybridMultilevel"/>
    <w:tmpl w:val="390008B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4505250C"/>
    <w:multiLevelType w:val="hybridMultilevel"/>
    <w:tmpl w:val="A0A0BD6C"/>
    <w:lvl w:ilvl="0" w:tplc="6276D472">
      <w:start w:val="5"/>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96E2943"/>
    <w:multiLevelType w:val="hybridMultilevel"/>
    <w:tmpl w:val="53F450F8"/>
    <w:lvl w:ilvl="0" w:tplc="81B8FB1E">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8" w15:restartNumberingAfterBreak="0">
    <w:nsid w:val="6914702D"/>
    <w:multiLevelType w:val="hybridMultilevel"/>
    <w:tmpl w:val="9D1A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128AE"/>
    <w:multiLevelType w:val="hybridMultilevel"/>
    <w:tmpl w:val="87F6872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057CD2"/>
    <w:multiLevelType w:val="multilevel"/>
    <w:tmpl w:val="E564AE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6"/>
  </w:num>
  <w:num w:numId="2">
    <w:abstractNumId w:val="20"/>
  </w:num>
  <w:num w:numId="3">
    <w:abstractNumId w:val="20"/>
    <w:lvlOverride w:ilvl="0">
      <w:startOverride w:val="1"/>
    </w:lvlOverride>
  </w:num>
  <w:num w:numId="4">
    <w:abstractNumId w:val="20"/>
    <w:lvlOverride w:ilvl="0">
      <w:startOverride w:val="10"/>
    </w:lvlOverride>
  </w:num>
  <w:num w:numId="5">
    <w:abstractNumId w:val="0"/>
  </w:num>
  <w:num w:numId="6">
    <w:abstractNumId w:val="24"/>
  </w:num>
  <w:num w:numId="7">
    <w:abstractNumId w:val="2"/>
  </w:num>
  <w:num w:numId="8">
    <w:abstractNumId w:val="17"/>
  </w:num>
  <w:num w:numId="9">
    <w:abstractNumId w:val="3"/>
  </w:num>
  <w:num w:numId="10">
    <w:abstractNumId w:val="4"/>
  </w:num>
  <w:num w:numId="11">
    <w:abstractNumId w:val="12"/>
  </w:num>
  <w:num w:numId="12">
    <w:abstractNumId w:val="16"/>
  </w:num>
  <w:num w:numId="13">
    <w:abstractNumId w:val="1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9"/>
  </w:num>
  <w:num w:numId="18">
    <w:abstractNumId w:val="6"/>
  </w:num>
  <w:num w:numId="19">
    <w:abstractNumId w:val="22"/>
  </w:num>
  <w:num w:numId="20">
    <w:abstractNumId w:val="21"/>
  </w:num>
  <w:num w:numId="21">
    <w:abstractNumId w:val="25"/>
  </w:num>
  <w:num w:numId="22">
    <w:abstractNumId w:val="7"/>
  </w:num>
  <w:num w:numId="23">
    <w:abstractNumId w:val="10"/>
  </w:num>
  <w:num w:numId="24">
    <w:abstractNumId w:val="5"/>
  </w:num>
  <w:num w:numId="25">
    <w:abstractNumId w:val="13"/>
  </w:num>
  <w:num w:numId="26">
    <w:abstractNumId w:val="15"/>
  </w:num>
  <w:num w:numId="27">
    <w:abstractNumId w:val="18"/>
  </w:num>
  <w:num w:numId="28">
    <w:abstractNumId w:val="19"/>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0528D"/>
    <w:rsid w:val="00111A92"/>
    <w:rsid w:val="00117CF2"/>
    <w:rsid w:val="001677D4"/>
    <w:rsid w:val="00184209"/>
    <w:rsid w:val="001A48CC"/>
    <w:rsid w:val="001C552D"/>
    <w:rsid w:val="001D4A79"/>
    <w:rsid w:val="002828ED"/>
    <w:rsid w:val="002B4826"/>
    <w:rsid w:val="00343686"/>
    <w:rsid w:val="003C3685"/>
    <w:rsid w:val="00467876"/>
    <w:rsid w:val="00480DAB"/>
    <w:rsid w:val="004E13B5"/>
    <w:rsid w:val="00507ECA"/>
    <w:rsid w:val="005B424F"/>
    <w:rsid w:val="006A1065"/>
    <w:rsid w:val="006A62D4"/>
    <w:rsid w:val="006B1EED"/>
    <w:rsid w:val="006E1764"/>
    <w:rsid w:val="0072688C"/>
    <w:rsid w:val="007520B1"/>
    <w:rsid w:val="0078596E"/>
    <w:rsid w:val="007C69FB"/>
    <w:rsid w:val="008A3412"/>
    <w:rsid w:val="008B606E"/>
    <w:rsid w:val="00A10749"/>
    <w:rsid w:val="00A25612"/>
    <w:rsid w:val="00AC5693"/>
    <w:rsid w:val="00C8426B"/>
    <w:rsid w:val="00C87B39"/>
    <w:rsid w:val="00D02424"/>
    <w:rsid w:val="00D260FE"/>
    <w:rsid w:val="00D65D02"/>
    <w:rsid w:val="00D87B58"/>
    <w:rsid w:val="00E703A2"/>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643</Words>
  <Characters>3732</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30</cp:revision>
  <dcterms:created xsi:type="dcterms:W3CDTF">2023-08-08T14:32:00Z</dcterms:created>
  <dcterms:modified xsi:type="dcterms:W3CDTF">2025-06-20T15:20:00Z</dcterms:modified>
</cp:coreProperties>
</file>