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90" w:rsidRDefault="008D22C7">
      <w:pPr>
        <w:spacing w:before="66"/>
        <w:ind w:left="3796" w:right="122" w:firstLine="4525"/>
        <w:jc w:val="right"/>
        <w:rPr>
          <w:i/>
        </w:rPr>
      </w:pPr>
      <w:bookmarkStart w:id="0" w:name="0ecaa8dee5be77f095db18b312422cad183a7bd7"/>
      <w:bookmarkEnd w:id="0"/>
      <w:r>
        <w:rPr>
          <w:i/>
        </w:rPr>
        <w:t>Anexa nr.1</w:t>
      </w:r>
      <w:r>
        <w:rPr>
          <w:i/>
          <w:spacing w:val="-52"/>
        </w:rPr>
        <w:t xml:space="preserve"> </w:t>
      </w:r>
      <w:r>
        <w:rPr>
          <w:i/>
        </w:rPr>
        <w:t>la Regulamentul cu privire la Registrul de stat al alegătorilor,</w:t>
      </w:r>
      <w:r>
        <w:rPr>
          <w:i/>
          <w:spacing w:val="-52"/>
        </w:rPr>
        <w:t xml:space="preserve"> </w:t>
      </w:r>
      <w:r>
        <w:rPr>
          <w:i/>
        </w:rPr>
        <w:t>aprobat prin</w:t>
      </w:r>
      <w:r>
        <w:rPr>
          <w:i/>
          <w:spacing w:val="-3"/>
        </w:rPr>
        <w:t xml:space="preserve"> </w:t>
      </w:r>
      <w:r>
        <w:rPr>
          <w:i/>
        </w:rPr>
        <w:t>hotărârea</w:t>
      </w:r>
      <w:r>
        <w:rPr>
          <w:i/>
          <w:spacing w:val="-4"/>
        </w:rPr>
        <w:t xml:space="preserve"> </w:t>
      </w:r>
      <w:r>
        <w:rPr>
          <w:i/>
        </w:rPr>
        <w:t>Comisiei</w:t>
      </w:r>
      <w:r>
        <w:rPr>
          <w:i/>
          <w:spacing w:val="-5"/>
        </w:rPr>
        <w:t xml:space="preserve"> </w:t>
      </w:r>
      <w:r>
        <w:rPr>
          <w:i/>
        </w:rPr>
        <w:t>Electorale</w:t>
      </w:r>
      <w:r>
        <w:rPr>
          <w:i/>
          <w:spacing w:val="-3"/>
        </w:rPr>
        <w:t xml:space="preserve"> </w:t>
      </w:r>
      <w:r>
        <w:rPr>
          <w:i/>
        </w:rPr>
        <w:t>Centrale</w:t>
      </w:r>
    </w:p>
    <w:p w:rsidR="006C1290" w:rsidRDefault="008D22C7">
      <w:pPr>
        <w:spacing w:before="2"/>
        <w:ind w:right="123"/>
        <w:jc w:val="right"/>
        <w:rPr>
          <w:i/>
        </w:rPr>
      </w:pPr>
      <w:r>
        <w:rPr>
          <w:i/>
        </w:rPr>
        <w:t>nr.</w:t>
      </w:r>
      <w:r>
        <w:rPr>
          <w:i/>
          <w:spacing w:val="3"/>
        </w:rPr>
        <w:t xml:space="preserve"> </w:t>
      </w:r>
      <w:r>
        <w:rPr>
          <w:i/>
        </w:rPr>
        <w:t>1140/2023</w:t>
      </w:r>
    </w:p>
    <w:p w:rsidR="006C1290" w:rsidRDefault="006C1290">
      <w:pPr>
        <w:pStyle w:val="Corptext"/>
        <w:rPr>
          <w:i/>
        </w:rPr>
      </w:pPr>
    </w:p>
    <w:p w:rsidR="006C1290" w:rsidRDefault="006C1290">
      <w:pPr>
        <w:pStyle w:val="Corptext"/>
        <w:rPr>
          <w:i/>
        </w:rPr>
      </w:pPr>
    </w:p>
    <w:p w:rsidR="006C1290" w:rsidRDefault="006C1290">
      <w:pPr>
        <w:pStyle w:val="Corptext"/>
        <w:spacing w:before="2"/>
        <w:rPr>
          <w:i/>
          <w:sz w:val="20"/>
        </w:rPr>
      </w:pPr>
    </w:p>
    <w:p w:rsidR="006C1290" w:rsidRDefault="008D22C7">
      <w:pPr>
        <w:pStyle w:val="Titlu1"/>
        <w:ind w:left="3979" w:right="3999"/>
        <w:jc w:val="center"/>
      </w:pPr>
      <w:r>
        <w:t>DISPOZIŢIE</w:t>
      </w:r>
    </w:p>
    <w:p w:rsidR="006C1290" w:rsidRDefault="008D22C7">
      <w:pPr>
        <w:pStyle w:val="Corptext"/>
        <w:rPr>
          <w:b/>
          <w:sz w:val="18"/>
        </w:rPr>
      </w:pPr>
      <w:r>
        <w:pict>
          <v:rect id="_x0000_s1027" style="position:absolute;margin-left:204.55pt;margin-top:12.3pt;width:223.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C1290" w:rsidRDefault="008D22C7">
      <w:pPr>
        <w:spacing w:line="216" w:lineRule="exact"/>
        <w:ind w:left="3260" w:right="3284"/>
        <w:jc w:val="center"/>
        <w:rPr>
          <w:i/>
          <w:sz w:val="20"/>
        </w:rPr>
      </w:pPr>
      <w:r>
        <w:rPr>
          <w:i/>
          <w:sz w:val="20"/>
        </w:rPr>
        <w:t>(Unitatea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administrativ-teritorială)</w:t>
      </w:r>
    </w:p>
    <w:p w:rsidR="006C1290" w:rsidRDefault="006C1290">
      <w:pPr>
        <w:pStyle w:val="Corptext"/>
        <w:spacing w:before="10"/>
        <w:rPr>
          <w:i/>
          <w:sz w:val="23"/>
        </w:rPr>
      </w:pPr>
    </w:p>
    <w:p w:rsidR="006C1290" w:rsidRPr="008D22C7" w:rsidRDefault="008D22C7" w:rsidP="008D22C7">
      <w:pPr>
        <w:pStyle w:val="Corptext"/>
        <w:tabs>
          <w:tab w:val="left" w:pos="1644"/>
          <w:tab w:val="left" w:pos="7061"/>
          <w:tab w:val="left" w:pos="9310"/>
        </w:tabs>
      </w:pPr>
      <w:bookmarkStart w:id="1" w:name="_GoBack"/>
      <w:bookmarkEnd w:id="1"/>
      <w:r>
        <w:t>Nr.</w:t>
      </w:r>
      <w:r>
        <w:rPr>
          <w:u w:val="single"/>
        </w:rPr>
        <w:tab/>
      </w:r>
      <w:r>
        <w:tab/>
        <w:t>Data _______________</w:t>
      </w:r>
    </w:p>
    <w:p w:rsidR="006C1290" w:rsidRDefault="006C1290">
      <w:pPr>
        <w:pStyle w:val="Corptext"/>
        <w:rPr>
          <w:sz w:val="20"/>
        </w:rPr>
      </w:pPr>
    </w:p>
    <w:p w:rsidR="006C1290" w:rsidRDefault="006C1290">
      <w:pPr>
        <w:pStyle w:val="Corptext"/>
        <w:spacing w:before="3"/>
        <w:rPr>
          <w:sz w:val="20"/>
        </w:rPr>
      </w:pPr>
    </w:p>
    <w:p w:rsidR="006C1290" w:rsidRDefault="008D22C7">
      <w:pPr>
        <w:spacing w:before="90"/>
        <w:ind w:left="102" w:right="3152"/>
        <w:rPr>
          <w:i/>
          <w:sz w:val="24"/>
        </w:rPr>
      </w:pPr>
      <w:r>
        <w:rPr>
          <w:i/>
          <w:sz w:val="24"/>
        </w:rPr>
        <w:t>Cu privire la desemnarea persoanei responsabile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prelucrarea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datelor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Registrul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alegătorilor</w:t>
      </w:r>
    </w:p>
    <w:p w:rsidR="006C1290" w:rsidRDefault="006C1290">
      <w:pPr>
        <w:pStyle w:val="Corptext"/>
        <w:rPr>
          <w:i/>
          <w:sz w:val="26"/>
        </w:rPr>
      </w:pPr>
    </w:p>
    <w:p w:rsidR="006C1290" w:rsidRDefault="006C1290">
      <w:pPr>
        <w:pStyle w:val="Corptext"/>
        <w:rPr>
          <w:i/>
          <w:sz w:val="22"/>
        </w:rPr>
      </w:pPr>
    </w:p>
    <w:p w:rsidR="006C1290" w:rsidRDefault="008D22C7" w:rsidP="008D22C7">
      <w:pPr>
        <w:pStyle w:val="Corptext"/>
        <w:ind w:right="123" w:firstLine="705"/>
        <w:jc w:val="both"/>
      </w:pPr>
      <w:r>
        <w:t xml:space="preserve">În scopul întocmirii </w:t>
      </w:r>
      <w:proofErr w:type="spellStart"/>
      <w:r>
        <w:t>şi</w:t>
      </w:r>
      <w:proofErr w:type="spellEnd"/>
      <w:r>
        <w:t xml:space="preserve"> actualizării listelor electorale, în temeiul art. 28 alin. (1) pct. 16)</w:t>
      </w:r>
      <w:r>
        <w:rPr>
          <w:spacing w:val="-57"/>
        </w:rPr>
        <w:t xml:space="preserve"> </w:t>
      </w:r>
      <w:r>
        <w:t>lit. a) din Codul electoral nr. 325/2022, art. 32 alin. (1) din Legea nr. 436/2006 privind</w:t>
      </w:r>
      <w:r>
        <w:rPr>
          <w:spacing w:val="1"/>
        </w:rPr>
        <w:t xml:space="preserve"> </w:t>
      </w:r>
      <w:proofErr w:type="spellStart"/>
      <w:r>
        <w:t>administraţia</w:t>
      </w:r>
      <w:proofErr w:type="spellEnd"/>
      <w:r>
        <w:rPr>
          <w:spacing w:val="-2"/>
        </w:rPr>
        <w:t xml:space="preserve"> </w:t>
      </w:r>
      <w:r>
        <w:t>publică</w:t>
      </w:r>
      <w:r>
        <w:rPr>
          <w:spacing w:val="-1"/>
        </w:rPr>
        <w:t xml:space="preserve"> </w:t>
      </w:r>
      <w:r>
        <w:t>locală,</w:t>
      </w:r>
      <w:r>
        <w:rPr>
          <w:spacing w:val="-1"/>
        </w:rPr>
        <w:t xml:space="preserve"> </w:t>
      </w:r>
      <w:r>
        <w:t>DISPUN:</w:t>
      </w:r>
    </w:p>
    <w:p w:rsidR="006C1290" w:rsidRDefault="006C1290">
      <w:pPr>
        <w:pStyle w:val="Corptext"/>
      </w:pPr>
    </w:p>
    <w:p w:rsidR="006C1290" w:rsidRDefault="008D22C7">
      <w:pPr>
        <w:pStyle w:val="Listparagraf"/>
        <w:numPr>
          <w:ilvl w:val="0"/>
          <w:numId w:val="1"/>
        </w:numPr>
        <w:tabs>
          <w:tab w:val="left" w:pos="851"/>
          <w:tab w:val="left" w:pos="9207"/>
        </w:tabs>
        <w:ind w:right="130" w:hanging="12"/>
        <w:jc w:val="both"/>
      </w:pPr>
      <w:r>
        <w:pict>
          <v:rect id="_x0000_s1026" style="position:absolute;left:0;text-align:left;margin-left:242.55pt;margin-top:26.2pt;width:297.8pt;height:.5pt;z-index:15729152;mso-position-horizontal-relative:page" fillcolor="black" stroked="f">
            <w10:wrap anchorx="page"/>
          </v:rect>
        </w:pict>
      </w:r>
      <w:r>
        <w:rPr>
          <w:sz w:val="24"/>
        </w:rPr>
        <w:t>Se desemnează în calitate de persoană responsabilă de prelucrarea datelor din Registrul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stat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alegătorilor</w:t>
      </w:r>
      <w:r>
        <w:rPr>
          <w:spacing w:val="6"/>
          <w:sz w:val="24"/>
        </w:rPr>
        <w:t xml:space="preserve"> </w:t>
      </w:r>
      <w:r>
        <w:rPr>
          <w:sz w:val="24"/>
        </w:rPr>
        <w:t>dl/dna _________________________________________________</w:t>
      </w:r>
      <w:r>
        <w:rPr>
          <w:sz w:val="24"/>
        </w:rPr>
        <w:tab/>
      </w:r>
      <w:r>
        <w:t>.</w:t>
      </w:r>
    </w:p>
    <w:p w:rsidR="006C1290" w:rsidRDefault="008D22C7">
      <w:pPr>
        <w:spacing w:before="2" w:line="228" w:lineRule="exact"/>
        <w:ind w:left="3887"/>
        <w:rPr>
          <w:i/>
          <w:sz w:val="20"/>
        </w:rPr>
      </w:pPr>
      <w:r>
        <w:rPr>
          <w:i/>
          <w:sz w:val="20"/>
        </w:rPr>
        <w:t xml:space="preserve">      </w:t>
      </w:r>
      <w:r>
        <w:rPr>
          <w:i/>
          <w:sz w:val="20"/>
        </w:rPr>
        <w:t>(numele,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prenumele, IDNP,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6C1290" w:rsidRDefault="008D22C7" w:rsidP="008D22C7">
      <w:pPr>
        <w:pStyle w:val="Listparagraf"/>
        <w:numPr>
          <w:ilvl w:val="0"/>
          <w:numId w:val="1"/>
        </w:numPr>
        <w:tabs>
          <w:tab w:val="left" w:pos="810"/>
        </w:tabs>
        <w:ind w:left="0" w:right="125" w:firstLine="540"/>
        <w:jc w:val="both"/>
        <w:rPr>
          <w:sz w:val="24"/>
        </w:rPr>
      </w:pPr>
      <w:r>
        <w:rPr>
          <w:sz w:val="24"/>
        </w:rPr>
        <w:t xml:space="preserve">Persoana desemnată va </w:t>
      </w:r>
      <w:proofErr w:type="spellStart"/>
      <w:r>
        <w:rPr>
          <w:sz w:val="24"/>
        </w:rPr>
        <w:t>obţine</w:t>
      </w:r>
      <w:proofErr w:type="spellEnd"/>
      <w:r>
        <w:rPr>
          <w:sz w:val="24"/>
        </w:rPr>
        <w:t xml:space="preserve"> statutul de registrator după ce va fi autorizată în această</w:t>
      </w:r>
      <w:r>
        <w:rPr>
          <w:spacing w:val="1"/>
          <w:sz w:val="24"/>
        </w:rPr>
        <w:t xml:space="preserve"> </w:t>
      </w:r>
      <w:r>
        <w:rPr>
          <w:sz w:val="24"/>
        </w:rPr>
        <w:t>calitate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2"/>
          <w:sz w:val="24"/>
        </w:rPr>
        <w:t xml:space="preserve"> </w:t>
      </w:r>
      <w:r>
        <w:rPr>
          <w:sz w:val="24"/>
        </w:rPr>
        <w:t>Comisia</w:t>
      </w:r>
      <w:r>
        <w:rPr>
          <w:spacing w:val="1"/>
          <w:sz w:val="24"/>
        </w:rPr>
        <w:t xml:space="preserve"> </w:t>
      </w:r>
      <w:r>
        <w:rPr>
          <w:sz w:val="24"/>
        </w:rPr>
        <w:t>Electorală</w:t>
      </w:r>
      <w:r>
        <w:rPr>
          <w:spacing w:val="-4"/>
          <w:sz w:val="24"/>
        </w:rPr>
        <w:t xml:space="preserve"> </w:t>
      </w:r>
      <w:r>
        <w:rPr>
          <w:sz w:val="24"/>
        </w:rPr>
        <w:t>Centrală.</w:t>
      </w:r>
    </w:p>
    <w:p w:rsidR="006C1290" w:rsidRDefault="008D22C7" w:rsidP="008D22C7">
      <w:pPr>
        <w:pStyle w:val="Listparagraf"/>
        <w:numPr>
          <w:ilvl w:val="0"/>
          <w:numId w:val="1"/>
        </w:numPr>
        <w:tabs>
          <w:tab w:val="left" w:pos="803"/>
        </w:tabs>
        <w:ind w:left="0" w:right="127" w:firstLine="540"/>
        <w:jc w:val="both"/>
        <w:rPr>
          <w:sz w:val="24"/>
        </w:rPr>
      </w:pP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procesul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prelucrare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datelor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conţinute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Registrul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stat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alegătorilor,</w:t>
      </w:r>
      <w:r>
        <w:rPr>
          <w:spacing w:val="1"/>
          <w:sz w:val="24"/>
        </w:rPr>
        <w:t xml:space="preserve"> </w:t>
      </w:r>
      <w:r>
        <w:rPr>
          <w:sz w:val="24"/>
        </w:rPr>
        <w:t>registratorul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va</w:t>
      </w:r>
      <w:r>
        <w:rPr>
          <w:spacing w:val="-11"/>
          <w:sz w:val="24"/>
        </w:rPr>
        <w:t xml:space="preserve"> </w:t>
      </w:r>
      <w:r>
        <w:rPr>
          <w:sz w:val="24"/>
        </w:rPr>
        <w:t>supune</w:t>
      </w:r>
      <w:r>
        <w:rPr>
          <w:spacing w:val="-7"/>
          <w:sz w:val="24"/>
        </w:rPr>
        <w:t xml:space="preserve"> </w:t>
      </w:r>
      <w:r>
        <w:rPr>
          <w:sz w:val="24"/>
        </w:rPr>
        <w:t>prevederilor</w:t>
      </w:r>
      <w:r>
        <w:rPr>
          <w:spacing w:val="-9"/>
          <w:sz w:val="24"/>
        </w:rPr>
        <w:t xml:space="preserve"> </w:t>
      </w:r>
      <w:r>
        <w:rPr>
          <w:sz w:val="24"/>
        </w:rPr>
        <w:t>Codului</w:t>
      </w:r>
      <w:r>
        <w:rPr>
          <w:spacing w:val="-9"/>
          <w:sz w:val="24"/>
        </w:rPr>
        <w:t xml:space="preserve"> </w:t>
      </w:r>
      <w:r>
        <w:rPr>
          <w:sz w:val="24"/>
        </w:rPr>
        <w:t>electoral</w:t>
      </w:r>
      <w:r>
        <w:rPr>
          <w:spacing w:val="-8"/>
          <w:sz w:val="24"/>
        </w:rPr>
        <w:t xml:space="preserve"> </w:t>
      </w:r>
      <w:r>
        <w:rPr>
          <w:sz w:val="24"/>
        </w:rPr>
        <w:t>și</w:t>
      </w:r>
      <w:r>
        <w:rPr>
          <w:spacing w:val="-9"/>
          <w:sz w:val="24"/>
        </w:rPr>
        <w:t xml:space="preserve"> </w:t>
      </w:r>
      <w:r>
        <w:rPr>
          <w:sz w:val="24"/>
        </w:rPr>
        <w:t>ale</w:t>
      </w:r>
      <w:r>
        <w:rPr>
          <w:spacing w:val="-7"/>
          <w:sz w:val="24"/>
        </w:rPr>
        <w:t xml:space="preserve"> </w:t>
      </w:r>
      <w:r>
        <w:rPr>
          <w:sz w:val="24"/>
        </w:rPr>
        <w:t>Legii</w:t>
      </w:r>
      <w:r>
        <w:rPr>
          <w:spacing w:val="-8"/>
          <w:sz w:val="24"/>
        </w:rPr>
        <w:t xml:space="preserve"> </w:t>
      </w:r>
      <w:r>
        <w:rPr>
          <w:sz w:val="24"/>
        </w:rPr>
        <w:t>nr.</w:t>
      </w:r>
      <w:r>
        <w:rPr>
          <w:spacing w:val="-10"/>
          <w:sz w:val="24"/>
        </w:rPr>
        <w:t xml:space="preserve"> </w:t>
      </w:r>
      <w:r>
        <w:rPr>
          <w:sz w:val="24"/>
        </w:rPr>
        <w:t>133/2011</w:t>
      </w:r>
      <w:r>
        <w:rPr>
          <w:spacing w:val="-9"/>
          <w:sz w:val="24"/>
        </w:rPr>
        <w:t xml:space="preserve"> </w:t>
      </w:r>
      <w:r>
        <w:rPr>
          <w:sz w:val="24"/>
        </w:rPr>
        <w:t>cu</w:t>
      </w:r>
      <w:r>
        <w:rPr>
          <w:spacing w:val="-10"/>
          <w:sz w:val="24"/>
        </w:rPr>
        <w:t xml:space="preserve"> </w:t>
      </w:r>
      <w:r>
        <w:rPr>
          <w:sz w:val="24"/>
        </w:rPr>
        <w:t>privire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protecția</w:t>
      </w:r>
      <w:r>
        <w:rPr>
          <w:spacing w:val="-1"/>
          <w:sz w:val="24"/>
        </w:rPr>
        <w:t xml:space="preserve"> </w:t>
      </w:r>
      <w:r>
        <w:rPr>
          <w:sz w:val="24"/>
        </w:rPr>
        <w:t>datelor cu caracter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w:rsidR="006C1290" w:rsidRDefault="008D22C7">
      <w:pPr>
        <w:pStyle w:val="Listparagraf"/>
        <w:numPr>
          <w:ilvl w:val="0"/>
          <w:numId w:val="1"/>
        </w:numPr>
        <w:tabs>
          <w:tab w:val="left" w:pos="810"/>
        </w:tabs>
        <w:ind w:left="810" w:hanging="257"/>
        <w:jc w:val="both"/>
        <w:rPr>
          <w:sz w:val="24"/>
        </w:rPr>
      </w:pPr>
      <w:r>
        <w:rPr>
          <w:sz w:val="24"/>
        </w:rPr>
        <w:t>Prezenta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dispoziţie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transmite</w:t>
      </w:r>
      <w:r>
        <w:rPr>
          <w:spacing w:val="-2"/>
          <w:sz w:val="24"/>
        </w:rPr>
        <w:t xml:space="preserve"> </w:t>
      </w:r>
      <w:r>
        <w:rPr>
          <w:sz w:val="24"/>
        </w:rPr>
        <w:t>Comisiei</w:t>
      </w:r>
      <w:r>
        <w:rPr>
          <w:spacing w:val="-1"/>
          <w:sz w:val="24"/>
        </w:rPr>
        <w:t xml:space="preserve"> </w:t>
      </w:r>
      <w:r>
        <w:rPr>
          <w:sz w:val="24"/>
        </w:rPr>
        <w:t>Electorale</w:t>
      </w:r>
      <w:r>
        <w:rPr>
          <w:spacing w:val="-4"/>
          <w:sz w:val="24"/>
        </w:rPr>
        <w:t xml:space="preserve"> </w:t>
      </w:r>
      <w:r>
        <w:rPr>
          <w:sz w:val="24"/>
        </w:rPr>
        <w:t>Centrale.</w:t>
      </w:r>
    </w:p>
    <w:p w:rsidR="006C1290" w:rsidRDefault="008D22C7">
      <w:pPr>
        <w:pStyle w:val="Listparagraf"/>
        <w:numPr>
          <w:ilvl w:val="0"/>
          <w:numId w:val="1"/>
        </w:numPr>
        <w:tabs>
          <w:tab w:val="left" w:pos="810"/>
        </w:tabs>
        <w:ind w:left="810" w:hanging="257"/>
        <w:jc w:val="both"/>
        <w:rPr>
          <w:sz w:val="24"/>
        </w:rPr>
      </w:pPr>
      <w:r>
        <w:rPr>
          <w:sz w:val="24"/>
        </w:rPr>
        <w:t>Controlul</w:t>
      </w:r>
      <w:r>
        <w:rPr>
          <w:spacing w:val="-1"/>
          <w:sz w:val="24"/>
        </w:rPr>
        <w:t xml:space="preserve"> </w:t>
      </w:r>
      <w:r>
        <w:rPr>
          <w:sz w:val="24"/>
        </w:rPr>
        <w:t>asupra</w:t>
      </w:r>
      <w:r>
        <w:rPr>
          <w:spacing w:val="-2"/>
          <w:sz w:val="24"/>
        </w:rPr>
        <w:t xml:space="preserve"> </w:t>
      </w:r>
      <w:r>
        <w:rPr>
          <w:sz w:val="24"/>
        </w:rPr>
        <w:t>executării prezentei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dispoziţii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mi-l</w:t>
      </w:r>
      <w:r>
        <w:rPr>
          <w:spacing w:val="-6"/>
          <w:sz w:val="24"/>
        </w:rPr>
        <w:t xml:space="preserve"> </w:t>
      </w:r>
      <w:r>
        <w:rPr>
          <w:sz w:val="24"/>
        </w:rPr>
        <w:t>asum.</w:t>
      </w:r>
    </w:p>
    <w:p w:rsidR="006C1290" w:rsidRDefault="006C1290">
      <w:pPr>
        <w:pStyle w:val="Corptext"/>
        <w:rPr>
          <w:sz w:val="26"/>
        </w:rPr>
      </w:pPr>
    </w:p>
    <w:p w:rsidR="006C1290" w:rsidRDefault="006C1290">
      <w:pPr>
        <w:pStyle w:val="Corptext"/>
        <w:spacing w:before="3"/>
        <w:rPr>
          <w:sz w:val="22"/>
        </w:rPr>
      </w:pPr>
    </w:p>
    <w:p w:rsidR="006C1290" w:rsidRDefault="008D22C7" w:rsidP="008D22C7">
      <w:pPr>
        <w:pStyle w:val="Titlu1"/>
        <w:ind w:left="0"/>
      </w:pPr>
      <w:r>
        <w:t>Primar</w:t>
      </w:r>
    </w:p>
    <w:sectPr w:rsidR="006C1290">
      <w:type w:val="continuous"/>
      <w:pgSz w:w="11920" w:h="16850"/>
      <w:pgMar w:top="1060" w:right="9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636FA"/>
    <w:multiLevelType w:val="hybridMultilevel"/>
    <w:tmpl w:val="8244F540"/>
    <w:lvl w:ilvl="0" w:tplc="27B6F93E">
      <w:start w:val="1"/>
      <w:numFmt w:val="decimal"/>
      <w:lvlText w:val="%1."/>
      <w:lvlJc w:val="left"/>
      <w:pPr>
        <w:ind w:left="565" w:hanging="298"/>
        <w:jc w:val="left"/>
      </w:pPr>
      <w:rPr>
        <w:rFonts w:hint="default"/>
        <w:w w:val="100"/>
        <w:lang w:val="ro-RO" w:eastAsia="en-US" w:bidi="ar-SA"/>
      </w:rPr>
    </w:lvl>
    <w:lvl w:ilvl="1" w:tplc="52503AC2">
      <w:numFmt w:val="bullet"/>
      <w:lvlText w:val="•"/>
      <w:lvlJc w:val="left"/>
      <w:pPr>
        <w:ind w:left="1445" w:hanging="298"/>
      </w:pPr>
      <w:rPr>
        <w:rFonts w:hint="default"/>
        <w:lang w:val="ro-RO" w:eastAsia="en-US" w:bidi="ar-SA"/>
      </w:rPr>
    </w:lvl>
    <w:lvl w:ilvl="2" w:tplc="B25E3A98">
      <w:numFmt w:val="bullet"/>
      <w:lvlText w:val="•"/>
      <w:lvlJc w:val="left"/>
      <w:pPr>
        <w:ind w:left="2330" w:hanging="298"/>
      </w:pPr>
      <w:rPr>
        <w:rFonts w:hint="default"/>
        <w:lang w:val="ro-RO" w:eastAsia="en-US" w:bidi="ar-SA"/>
      </w:rPr>
    </w:lvl>
    <w:lvl w:ilvl="3" w:tplc="4454D9DC">
      <w:numFmt w:val="bullet"/>
      <w:lvlText w:val="•"/>
      <w:lvlJc w:val="left"/>
      <w:pPr>
        <w:ind w:left="3215" w:hanging="298"/>
      </w:pPr>
      <w:rPr>
        <w:rFonts w:hint="default"/>
        <w:lang w:val="ro-RO" w:eastAsia="en-US" w:bidi="ar-SA"/>
      </w:rPr>
    </w:lvl>
    <w:lvl w:ilvl="4" w:tplc="5790BEE6">
      <w:numFmt w:val="bullet"/>
      <w:lvlText w:val="•"/>
      <w:lvlJc w:val="left"/>
      <w:pPr>
        <w:ind w:left="4100" w:hanging="298"/>
      </w:pPr>
      <w:rPr>
        <w:rFonts w:hint="default"/>
        <w:lang w:val="ro-RO" w:eastAsia="en-US" w:bidi="ar-SA"/>
      </w:rPr>
    </w:lvl>
    <w:lvl w:ilvl="5" w:tplc="38604396">
      <w:numFmt w:val="bullet"/>
      <w:lvlText w:val="•"/>
      <w:lvlJc w:val="left"/>
      <w:pPr>
        <w:ind w:left="4985" w:hanging="298"/>
      </w:pPr>
      <w:rPr>
        <w:rFonts w:hint="default"/>
        <w:lang w:val="ro-RO" w:eastAsia="en-US" w:bidi="ar-SA"/>
      </w:rPr>
    </w:lvl>
    <w:lvl w:ilvl="6" w:tplc="616E2244">
      <w:numFmt w:val="bullet"/>
      <w:lvlText w:val="•"/>
      <w:lvlJc w:val="left"/>
      <w:pPr>
        <w:ind w:left="5870" w:hanging="298"/>
      </w:pPr>
      <w:rPr>
        <w:rFonts w:hint="default"/>
        <w:lang w:val="ro-RO" w:eastAsia="en-US" w:bidi="ar-SA"/>
      </w:rPr>
    </w:lvl>
    <w:lvl w:ilvl="7" w:tplc="F00A75B8">
      <w:numFmt w:val="bullet"/>
      <w:lvlText w:val="•"/>
      <w:lvlJc w:val="left"/>
      <w:pPr>
        <w:ind w:left="6755" w:hanging="298"/>
      </w:pPr>
      <w:rPr>
        <w:rFonts w:hint="default"/>
        <w:lang w:val="ro-RO" w:eastAsia="en-US" w:bidi="ar-SA"/>
      </w:rPr>
    </w:lvl>
    <w:lvl w:ilvl="8" w:tplc="A0B827A8">
      <w:numFmt w:val="bullet"/>
      <w:lvlText w:val="•"/>
      <w:lvlJc w:val="left"/>
      <w:pPr>
        <w:ind w:left="7640" w:hanging="29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1290"/>
    <w:rsid w:val="006C1290"/>
    <w:rsid w:val="008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9E606CD-909B-4D57-957D-4C7CBA0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205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565" w:hanging="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Gamarta-Esanu</cp:lastModifiedBy>
  <cp:revision>2</cp:revision>
  <dcterms:created xsi:type="dcterms:W3CDTF">2023-08-11T10:02:00Z</dcterms:created>
  <dcterms:modified xsi:type="dcterms:W3CDTF">2023-08-11T10:04:00Z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